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3812A" w14:textId="77777777" w:rsidR="00B46A1E" w:rsidRDefault="00000000">
      <w:pPr>
        <w:spacing w:before="480" w:after="480" w:line="288" w:lineRule="auto"/>
        <w:contextualSpacing/>
        <w:rPr>
          <w:rFonts w:ascii="黑体" w:eastAsia="黑体" w:hAnsi="黑体" w:cs="Arial" w:hint="eastAsia"/>
          <w:b/>
          <w:sz w:val="32"/>
          <w:szCs w:val="32"/>
        </w:rPr>
      </w:pPr>
      <w:r>
        <w:rPr>
          <w:rFonts w:ascii="黑体" w:eastAsia="黑体" w:hAnsi="黑体" w:cs="Arial"/>
          <w:b/>
          <w:sz w:val="32"/>
          <w:szCs w:val="32"/>
        </w:rPr>
        <w:t>油气全产业链数据治理体系构建与数据流通机制研究</w:t>
      </w:r>
    </w:p>
    <w:p w14:paraId="3237FA1D" w14:textId="77777777" w:rsidR="0056762C" w:rsidRPr="00A02DD0" w:rsidRDefault="0056762C">
      <w:pPr>
        <w:spacing w:before="480" w:after="480" w:line="288" w:lineRule="auto"/>
        <w:contextualSpacing/>
        <w:rPr>
          <w:rFonts w:ascii="宋体" w:eastAsia="宋体" w:hAnsi="宋体" w:hint="eastAsia"/>
        </w:rPr>
      </w:pPr>
    </w:p>
    <w:p w14:paraId="05ECCE1C" w14:textId="44DCAF17" w:rsidR="00B46A1E" w:rsidRDefault="00000000">
      <w:pPr>
        <w:spacing w:before="480" w:after="480" w:line="288" w:lineRule="auto"/>
        <w:contextualSpacing/>
        <w:jc w:val="center"/>
        <w:rPr>
          <w:rFonts w:ascii="宋体" w:eastAsia="宋体" w:hAnsi="宋体" w:hint="eastAsia"/>
        </w:rPr>
      </w:pPr>
      <w:r>
        <w:rPr>
          <w:rFonts w:ascii="宋体" w:eastAsia="宋体" w:hAnsi="宋体" w:hint="eastAsia"/>
        </w:rPr>
        <w:t>赵晓芳</w:t>
      </w:r>
      <w:r w:rsidR="004D31F8">
        <w:rPr>
          <w:rFonts w:ascii="宋体" w:eastAsia="宋体" w:hAnsi="宋体" w:hint="eastAsia"/>
        </w:rPr>
        <w:t xml:space="preserve"> </w:t>
      </w:r>
      <w:r>
        <w:rPr>
          <w:rFonts w:ascii="宋体" w:eastAsia="宋体" w:hAnsi="宋体" w:hint="eastAsia"/>
        </w:rPr>
        <w:t>易万里</w:t>
      </w:r>
    </w:p>
    <w:p w14:paraId="68ABB520" w14:textId="77777777" w:rsidR="00B46A1E" w:rsidRDefault="00000000">
      <w:pPr>
        <w:spacing w:before="480" w:after="480" w:line="288" w:lineRule="auto"/>
        <w:contextualSpacing/>
        <w:jc w:val="center"/>
        <w:rPr>
          <w:rFonts w:ascii="宋体" w:eastAsia="宋体" w:hAnsi="宋体" w:hint="eastAsia"/>
        </w:rPr>
      </w:pPr>
      <w:r>
        <w:rPr>
          <w:rFonts w:ascii="宋体" w:eastAsia="宋体" w:hAnsi="宋体" w:hint="eastAsia"/>
        </w:rPr>
        <w:t>昆仑数智科技有限责任公司</w:t>
      </w:r>
    </w:p>
    <w:p w14:paraId="7839D8D2" w14:textId="77777777" w:rsidR="00B46A1E" w:rsidRPr="00581993" w:rsidRDefault="00000000">
      <w:pPr>
        <w:spacing w:before="320" w:after="120" w:line="288" w:lineRule="auto"/>
        <w:contextualSpacing/>
        <w:outlineLvl w:val="1"/>
        <w:rPr>
          <w:rFonts w:ascii="宋体" w:eastAsia="宋体" w:hAnsi="宋体" w:hint="eastAsia"/>
          <w:sz w:val="21"/>
          <w:szCs w:val="21"/>
        </w:rPr>
      </w:pPr>
      <w:bookmarkStart w:id="0" w:name="heading_0"/>
      <w:r w:rsidRPr="00581993">
        <w:rPr>
          <w:rFonts w:ascii="宋体" w:eastAsia="宋体" w:hAnsi="宋体" w:cs="Arial"/>
          <w:b/>
          <w:sz w:val="21"/>
          <w:szCs w:val="21"/>
        </w:rPr>
        <w:t>摘要</w:t>
      </w:r>
      <w:bookmarkEnd w:id="0"/>
    </w:p>
    <w:p w14:paraId="550429D0" w14:textId="51AAB8C1" w:rsidR="00F20129" w:rsidRPr="00581993" w:rsidRDefault="00F20129" w:rsidP="00581993">
      <w:pPr>
        <w:spacing w:before="120" w:after="120" w:line="288" w:lineRule="auto"/>
        <w:ind w:firstLineChars="200" w:firstLine="420"/>
        <w:contextualSpacing/>
        <w:jc w:val="both"/>
        <w:rPr>
          <w:rFonts w:ascii="宋体" w:eastAsia="宋体" w:hAnsi="宋体" w:hint="eastAsia"/>
          <w:sz w:val="21"/>
          <w:szCs w:val="21"/>
        </w:rPr>
      </w:pPr>
      <w:r w:rsidRPr="00581993">
        <w:rPr>
          <w:rFonts w:ascii="宋体" w:eastAsia="宋体" w:hAnsi="宋体"/>
          <w:sz w:val="21"/>
          <w:szCs w:val="21"/>
        </w:rPr>
        <w:t>在数字经济与数据要素市场化改革背景下，能源行业数字化转型已成为国家能源战略落地的重要支撑。油气产业覆盖勘探开发、炼化储运、终端销售及综合调度全链条，具有链条长、涉密性强、安全要求高等特征，普遍存在数据碎片化、标准不统一、流通壁垒突出与资产化缓慢等问题。本文综合运用文献研究、行业调研、逻辑分析与案例实证方法，剖析油气全产业链数据治理痛点及根源，构建五层一体化数据治理体系，设计确权定级、脱敏合规、共享流通、定价交易、收益分配、监管溯源六位一体闭环流通机制，引入IDC技术成熟度曲线与数智化双成熟度框架量化技术落地时序，填补油气领域数据闭环流通机制研究空白，并以昆仑数智及四个国家级能源人工智能数据集案例完成实证。该架构可分层提升企业数智化成熟度、支撑行业大模型迭代与跨主体可信流通，为石油石化企业搭建标准化治理架构、实现数据合规流通与资产价值落地提供理论支撑与实操路径。</w:t>
      </w:r>
    </w:p>
    <w:p w14:paraId="559B07DD" w14:textId="77777777" w:rsidR="00B46A1E" w:rsidRPr="00581993" w:rsidRDefault="00B46A1E">
      <w:pPr>
        <w:spacing w:before="120" w:after="120" w:line="288" w:lineRule="auto"/>
        <w:contextualSpacing/>
        <w:jc w:val="both"/>
        <w:rPr>
          <w:rFonts w:ascii="宋体" w:eastAsia="宋体" w:hAnsi="宋体" w:hint="eastAsia"/>
          <w:sz w:val="21"/>
          <w:szCs w:val="21"/>
        </w:rPr>
      </w:pPr>
    </w:p>
    <w:p w14:paraId="7C626D9E" w14:textId="77777777" w:rsidR="00F20129" w:rsidRPr="00581993" w:rsidRDefault="00F20129">
      <w:pPr>
        <w:spacing w:before="120" w:after="120" w:line="288" w:lineRule="auto"/>
        <w:contextualSpacing/>
        <w:jc w:val="both"/>
        <w:rPr>
          <w:rFonts w:ascii="宋体" w:eastAsia="宋体" w:hAnsi="宋体" w:hint="eastAsia"/>
          <w:sz w:val="21"/>
          <w:szCs w:val="21"/>
        </w:rPr>
      </w:pPr>
    </w:p>
    <w:p w14:paraId="37897F27" w14:textId="77777777" w:rsidR="00B46A1E" w:rsidRPr="00581993" w:rsidRDefault="00000000">
      <w:pPr>
        <w:spacing w:before="120" w:after="120" w:line="288" w:lineRule="auto"/>
        <w:contextualSpacing/>
        <w:rPr>
          <w:rFonts w:ascii="宋体" w:eastAsia="宋体" w:hAnsi="宋体" w:cs="Arial" w:hint="eastAsia"/>
          <w:sz w:val="21"/>
          <w:szCs w:val="21"/>
        </w:rPr>
      </w:pPr>
      <w:r w:rsidRPr="00581993">
        <w:rPr>
          <w:rFonts w:ascii="宋体" w:eastAsia="宋体" w:hAnsi="宋体" w:cs="Arial"/>
          <w:b/>
          <w:sz w:val="21"/>
          <w:szCs w:val="21"/>
        </w:rPr>
        <w:t>关键词：油气全产业链；数据治理；流通机制；数字化转型；能源数据市场化</w:t>
      </w:r>
      <w:r w:rsidRPr="00581993">
        <w:rPr>
          <w:rFonts w:ascii="宋体" w:eastAsia="宋体" w:hAnsi="宋体" w:cs="Arial"/>
          <w:sz w:val="21"/>
          <w:szCs w:val="21"/>
        </w:rPr>
      </w:r>
    </w:p>
    <w:p w14:paraId="00B304E8" w14:textId="77777777" w:rsidR="00CC3BD7" w:rsidRPr="00581993" w:rsidRDefault="00CC3BD7">
      <w:pPr>
        <w:spacing w:before="120" w:after="120" w:line="288" w:lineRule="auto"/>
        <w:contextualSpacing/>
        <w:rPr>
          <w:rFonts w:ascii="宋体" w:eastAsia="宋体" w:hAnsi="宋体" w:hint="eastAsia"/>
          <w:sz w:val="21"/>
          <w:szCs w:val="21"/>
        </w:rPr>
      </w:pPr>
    </w:p>
    <w:p w14:paraId="16E734CC" w14:textId="77777777" w:rsidR="00B46A1E" w:rsidRPr="00581993" w:rsidRDefault="00B46A1E">
      <w:pPr>
        <w:spacing w:before="120" w:after="120" w:line="288" w:lineRule="auto"/>
        <w:contextualSpacing/>
        <w:rPr>
          <w:rFonts w:ascii="宋体" w:eastAsia="宋体" w:hAnsi="宋体" w:hint="eastAsia"/>
          <w:sz w:val="21"/>
          <w:szCs w:val="21"/>
        </w:rPr>
      </w:pPr>
    </w:p>
    <w:p w14:paraId="3EE1307B" w14:textId="77777777" w:rsidR="00B46A1E" w:rsidRPr="005562CC" w:rsidRDefault="00B46A1E">
      <w:pPr>
        <w:spacing w:before="120" w:after="120" w:line="288" w:lineRule="auto"/>
        <w:contextualSpacing/>
        <w:rPr>
          <w:rFonts w:ascii="宋体" w:eastAsia="宋体" w:hAnsi="宋体" w:hint="eastAsia"/>
          <w:sz w:val="21"/>
          <w:szCs w:val="21"/>
        </w:rPr>
      </w:pPr>
    </w:p>
    <w:p w14:paraId="600DA544" w14:textId="36D6FE27" w:rsidR="00B46A1E" w:rsidRPr="005562CC" w:rsidRDefault="00000000">
      <w:pPr>
        <w:spacing w:before="320" w:after="120" w:line="288" w:lineRule="auto"/>
        <w:contextualSpacing/>
        <w:outlineLvl w:val="1"/>
        <w:rPr>
          <w:rFonts w:ascii="黑体" w:eastAsia="黑体" w:hAnsi="黑体" w:hint="eastAsia"/>
          <w:bCs/>
          <w:sz w:val="21"/>
          <w:szCs w:val="21"/>
        </w:rPr>
      </w:pPr>
      <w:bookmarkStart w:id="1" w:name="heading_1"/>
      <w:r w:rsidRPr="005562CC">
        <w:rPr>
          <w:rFonts w:ascii="黑体" w:eastAsia="黑体" w:hAnsi="黑体" w:cs="Arial" w:hint="eastAsia"/>
          <w:bCs/>
          <w:sz w:val="21"/>
          <w:szCs w:val="21"/>
        </w:rPr>
        <w:t>0</w:t>
      </w:r>
      <w:r w:rsidR="00A11BCD" w:rsidRPr="005562CC">
        <w:rPr>
          <w:rFonts w:ascii="黑体" w:eastAsia="黑体" w:hAnsi="黑体" w:cs="Arial" w:hint="eastAsia"/>
          <w:bCs/>
          <w:sz w:val="21"/>
          <w:szCs w:val="21"/>
        </w:rPr>
        <w:t xml:space="preserve"> </w:t>
      </w:r>
      <w:r w:rsidRPr="005562CC">
        <w:rPr>
          <w:rFonts w:ascii="黑体" w:eastAsia="黑体" w:hAnsi="黑体" w:cs="Arial"/>
          <w:bCs/>
          <w:sz w:val="21"/>
          <w:szCs w:val="21"/>
        </w:rPr>
        <w:t>引言</w:t>
      </w:r>
      <w:bookmarkEnd w:id="1"/>
    </w:p>
    <w:p w14:paraId="5DDE64FC" w14:textId="77777777" w:rsidR="00CC3BD7" w:rsidRPr="005562CC" w:rsidRDefault="00CC3BD7" w:rsidP="005562CC">
      <w:pPr>
        <w:spacing w:before="120" w:after="120" w:line="288" w:lineRule="auto"/>
        <w:ind w:firstLineChars="200" w:firstLine="420"/>
        <w:contextualSpacing/>
        <w:jc w:val="both"/>
        <w:rPr>
          <w:rFonts w:ascii="宋体" w:eastAsia="宋体" w:hAnsi="宋体" w:cs="Arial" w:hint="eastAsia"/>
          <w:sz w:val="21"/>
          <w:szCs w:val="21"/>
        </w:rPr>
      </w:pPr>
      <w:r w:rsidRPr="005562CC">
        <w:rPr>
          <w:rFonts w:ascii="宋体" w:eastAsia="宋体" w:hAnsi="宋体" w:cs="Arial"/>
          <w:sz w:val="21"/>
          <w:szCs w:val="21"/>
        </w:rPr>
        <w:t>数字经济已成为我国经济高质量发展的核心引擎，数据作为新型生产要素，正式纳入国家要素市场化配置改革体系。国家先后出台《数字中国建设整体布局规划》《数据要素市场化配置改革总体方案》《能源数字化转型行动计划》等一系列政策文件，明确提出加快能源领域数据确权、数据共享、流通与价值增值，推动能源数据从资源向资产、资本转化，为油气行业数据治理与流通发展划定了政策导向。</w:t>
      </w:r>
    </w:p>
    <w:p w14:paraId="37D50671" w14:textId="77777777" w:rsidR="00CC3BD7" w:rsidRPr="005562CC" w:rsidRDefault="00CC3BD7" w:rsidP="005562CC">
      <w:pPr>
        <w:spacing w:before="120" w:after="120" w:line="288" w:lineRule="auto"/>
        <w:ind w:firstLineChars="200" w:firstLine="420"/>
        <w:contextualSpacing/>
        <w:jc w:val="both"/>
        <w:rPr>
          <w:rFonts w:ascii="宋体" w:eastAsia="宋体" w:hAnsi="宋体" w:cs="Arial" w:hint="eastAsia"/>
          <w:sz w:val="21"/>
          <w:szCs w:val="21"/>
        </w:rPr>
      </w:pPr>
      <w:r w:rsidRPr="005562CC">
        <w:rPr>
          <w:rFonts w:ascii="宋体" w:eastAsia="宋体" w:hAnsi="宋体" w:cs="Arial"/>
          <w:sz w:val="21"/>
          <w:szCs w:val="21"/>
        </w:rPr>
        <w:t>本文立足油气行业国企管理模式、高危涉密特性与产业链协同需求，引用 IDC2026 油气行业基准调研数据。调研显示，全球仅 12.8% 能源企业达到 L4 管控式 AI 转型成熟度，国内油气行业平均处于 L2 向 L3 过渡阶段，中石油各板块成熟度分化显著，上游勘探数据治理成熟度偏高，下游销售及产业链跨主体流通普遍停留在 L1-L2。行业普遍缺乏基于成熟度模型的顶层分阶段建设规划，未依据 IDC 技术成熟度曲线区分技术投入优先级，AI 大模型与数据集建设存在重复投资、合规风险失控等问题。为此，本文构建适配油气行业特性的五层一体化数据治理体系，设计全流程闭环流通机制，并提出多维度保障对策。研究成果可为中石油、中石化、中海油及地方石油石化企业提供标准化数据治理建设路径，破解数据标准不统一、数据孤岛与流通壁垒等现实障碍；明确油气数据确权、脱敏、共享、交易、监管实操规则，平衡数据安全合规与开放流通需求；推动数据资源深度融入勘探开发、生产调度、储运销售、智能运维等业务场景，实现数据赋能降本增效、产业链协同优化与数据资产市场化增值，助力油气行业数字化转型高质量发展。</w:t>
      </w:r>
      <w:r w:rsidRPr="005562CC">
        <w:rPr>
          <w:rFonts w:ascii="宋体" w:eastAsia="宋体" w:hAnsi="宋体" w:cs="Arial"/>
          <w:sz w:val="21"/>
          <w:szCs w:val="21"/>
        </w:rPr>
      </w:r>
    </w:p>
    <w:p w14:paraId="7D70021A" w14:textId="77777777" w:rsidR="00B46A1E" w:rsidRPr="00E143B1" w:rsidRDefault="00B46A1E">
      <w:pPr>
        <w:spacing w:before="120" w:after="120" w:line="288" w:lineRule="auto"/>
        <w:contextualSpacing/>
        <w:jc w:val="both"/>
        <w:rPr>
          <w:rFonts w:ascii="宋体" w:eastAsia="宋体" w:hAnsi="宋体" w:cs="Arial" w:hint="eastAsia"/>
          <w:sz w:val="21"/>
          <w:szCs w:val="21"/>
        </w:rPr>
      </w:pPr>
    </w:p>
    <w:p w14:paraId="7680647F" w14:textId="77777777" w:rsidR="00CC3BD7" w:rsidRPr="00E143B1" w:rsidRDefault="00CC3BD7">
      <w:pPr>
        <w:spacing w:before="120" w:after="120" w:line="288" w:lineRule="auto"/>
        <w:contextualSpacing/>
        <w:jc w:val="both"/>
        <w:rPr>
          <w:rFonts w:ascii="宋体" w:eastAsia="宋体" w:hAnsi="宋体" w:cs="Arial" w:hint="eastAsia"/>
          <w:sz w:val="21"/>
          <w:szCs w:val="21"/>
        </w:rPr>
      </w:pPr>
    </w:p>
    <w:p w14:paraId="4D0DA857" w14:textId="70E0E4C9" w:rsidR="00B46A1E" w:rsidRPr="00E143B1" w:rsidRDefault="00000000">
      <w:pPr>
        <w:spacing w:before="320" w:after="120" w:line="288" w:lineRule="auto"/>
        <w:contextualSpacing/>
        <w:outlineLvl w:val="1"/>
        <w:rPr>
          <w:rFonts w:ascii="黑体" w:eastAsia="黑体" w:hAnsi="黑体" w:cs="Arial" w:hint="eastAsia"/>
          <w:bCs/>
          <w:sz w:val="21"/>
          <w:szCs w:val="21"/>
        </w:rPr>
      </w:pPr>
      <w:r w:rsidRPr="00E143B1">
        <w:rPr>
          <w:rFonts w:ascii="黑体" w:eastAsia="黑体" w:hAnsi="黑体" w:cs="Arial" w:hint="eastAsia"/>
          <w:bCs/>
          <w:sz w:val="21"/>
          <w:szCs w:val="21"/>
        </w:rPr>
        <w:t>1</w:t>
      </w:r>
      <w:r w:rsidR="00A11BCD" w:rsidRPr="00E143B1">
        <w:rPr>
          <w:rFonts w:ascii="黑体" w:eastAsia="黑体" w:hAnsi="黑体" w:cs="Arial" w:hint="eastAsia"/>
          <w:bCs/>
          <w:sz w:val="21"/>
          <w:szCs w:val="21"/>
        </w:rPr>
        <w:t xml:space="preserve"> </w:t>
      </w:r>
      <w:r w:rsidRPr="00E143B1">
        <w:rPr>
          <w:rFonts w:ascii="黑体" w:eastAsia="黑体" w:hAnsi="黑体" w:cs="Arial" w:hint="eastAsia"/>
          <w:bCs/>
          <w:sz w:val="21"/>
          <w:szCs w:val="21"/>
        </w:rPr>
        <w:t>研究背景</w:t>
      </w:r>
    </w:p>
    <w:p w14:paraId="6B4DD335" w14:textId="77777777" w:rsidR="005562CC" w:rsidRPr="00E143B1" w:rsidRDefault="005562CC" w:rsidP="00E143B1">
      <w:pPr>
        <w:spacing w:before="120" w:after="120" w:line="288" w:lineRule="auto"/>
        <w:ind w:firstLineChars="200" w:firstLine="420"/>
        <w:contextualSpacing/>
        <w:jc w:val="both"/>
        <w:rPr>
          <w:rFonts w:ascii="宋体" w:eastAsia="宋体" w:hAnsi="宋体" w:cs="Arial" w:hint="eastAsia"/>
          <w:sz w:val="21"/>
          <w:szCs w:val="21"/>
        </w:rPr>
      </w:pPr>
      <w:r w:rsidRPr="00E143B1">
        <w:rPr>
          <w:rFonts w:ascii="宋体" w:eastAsia="宋体" w:hAnsi="宋体" w:cs="Arial"/>
          <w:sz w:val="21"/>
          <w:szCs w:val="21"/>
        </w:rPr>
        <w:t>油气产业是保障国家能源安全、支撑工业经济平稳运行的基础性、战略性产业，产业链涵盖上游勘探开发、中游炼化储运、下游终端销售以及全域生产调度、安全监管等多个环节，业务场景复杂、参与主体众多、数据体量庞大且涉密敏感属性突出。随着油气行业数字化转型持续提速，各大石油石化企业纷纷布局业务数字化系统、生产管控平台、仓储物流管理系统等信息化建设，积累了海量勘探地质数据、生产运行数据、设备运维数据、市场交易数据、安全监管数据等多类型资源。</w:t>
      </w:r>
    </w:p>
    <w:p w14:paraId="23AC9277" w14:textId="77777777" w:rsidR="005562CC" w:rsidRPr="00E143B1" w:rsidRDefault="005562CC" w:rsidP="00E143B1">
      <w:pPr>
        <w:spacing w:before="120" w:after="120" w:line="288" w:lineRule="auto"/>
        <w:ind w:firstLineChars="200" w:firstLine="420"/>
        <w:contextualSpacing/>
        <w:jc w:val="both"/>
        <w:rPr>
          <w:rFonts w:ascii="宋体" w:eastAsia="宋体" w:hAnsi="宋体" w:cs="Arial" w:hint="eastAsia"/>
          <w:sz w:val="21"/>
          <w:szCs w:val="21"/>
        </w:rPr>
      </w:pPr>
      <w:r w:rsidRPr="00E143B1">
        <w:rPr>
          <w:rFonts w:ascii="宋体" w:eastAsia="宋体" w:hAnsi="宋体" w:cs="Arial"/>
          <w:sz w:val="21"/>
          <w:szCs w:val="21"/>
        </w:rPr>
        <w:t>但长期以来，油气行业采用条块分割、部门独立的管理模式，全产业链数据呈现碎片化、孤岛化、非标化特征。各业务系统数据标准不统一、数据口径存在差异，跨部门、跨企业、跨上下游产业链的数据共享难度较大；数据治理缺乏顶层统一架构，数据质量管控与全生命周期管理缺位；数据确权规则模糊、流通合规边界不清晰，市场化交易机制尚未建立，大量数据资源沉淀闲置，难以转化为可支撑业务运营、可市场化配置的数据资产。</w:t>
      </w:r>
    </w:p>
    <w:p w14:paraId="2E7B9C99" w14:textId="77777777" w:rsidR="005562CC" w:rsidRPr="00E143B1" w:rsidRDefault="005562CC" w:rsidP="00E143B1">
      <w:pPr>
        <w:spacing w:before="120" w:after="120" w:line="288" w:lineRule="auto"/>
        <w:ind w:firstLineChars="200" w:firstLine="420"/>
        <w:contextualSpacing/>
        <w:jc w:val="both"/>
        <w:rPr>
          <w:rFonts w:ascii="宋体" w:eastAsia="宋体" w:hAnsi="宋体" w:cs="Arial" w:hint="eastAsia"/>
          <w:sz w:val="21"/>
          <w:szCs w:val="21"/>
        </w:rPr>
      </w:pPr>
      <w:r w:rsidRPr="00E143B1">
        <w:rPr>
          <w:rFonts w:ascii="宋体" w:eastAsia="宋体" w:hAnsi="宋体" w:cs="Arial"/>
          <w:sz w:val="21"/>
          <w:szCs w:val="21"/>
        </w:rPr>
        <w:t>从国际发展视角来看，壳牌、BP、道达尔等国际油气巨头已率先完成全域数据治理体系搭建，建立标准化数据中台与数据资产运营平台，形成成熟的数据共享、流通交易与价值增值模式，依托数据资源实现产业链协同降本、智能勘探开发、市场精准研判。相比之下，国内油气行业数据治理仍停留在单点系统建设、局部数据整合阶段，全产业链系统性治理架构缺失、落地性流通机制空白，与国际先进水平存在明显差距。在此背景下，构建适配油气行业特性的全产业链数据治理体系、建立合规高效的数据流通机制，成为当前油气行业数字化转型与数据要素市场化改革亟待解决的重大课题。</w:t>
      </w:r>
    </w:p>
    <w:p w14:paraId="0AE9D449" w14:textId="132586D9" w:rsidR="00B46A1E" w:rsidRDefault="005562CC" w:rsidP="00F37A50">
      <w:pPr>
        <w:spacing w:before="120" w:after="120" w:line="288" w:lineRule="auto"/>
        <w:ind w:firstLineChars="200" w:firstLine="420"/>
        <w:contextualSpacing/>
        <w:jc w:val="both"/>
        <w:rPr>
          <w:rFonts w:ascii="宋体" w:eastAsia="宋体" w:hAnsi="宋体" w:cs="Arial" w:hint="eastAsia"/>
          <w:sz w:val="21"/>
          <w:szCs w:val="21"/>
        </w:rPr>
      </w:pPr>
      <w:r w:rsidRPr="00E143B1">
        <w:rPr>
          <w:rFonts w:ascii="宋体" w:eastAsia="宋体" w:hAnsi="宋体" w:cs="Arial"/>
          <w:sz w:val="21"/>
          <w:szCs w:val="21"/>
        </w:rPr>
        <w:t>从理论研究视角来看，国内学界关于数据治理、数据流通的研究多集中于通用工业、金融、政务等领域，针对能源行业尤其是油气全产业链的系统性研究较为匮乏。现有研究多聚焦单一环节数字化应用、局部数据标准建设，缺乏覆盖上中下游全链条的数据治理架构设计，也未形成适配油气涉密属性、安全管控要求的数据闭环流通理论体系。本文立足油气全产业链业务特性，界定行业专属数据治理与数据流通核心概念，融合数据治理理论、要素市场化理论、产业链协同理论构建一体化研究框架，填补油气领域数据闭环流通机制专项研究空白，为能源行业数据要素市场化研究提供理论参考。</w:t>
      </w:r>
    </w:p>
    <w:p w14:paraId="6A1A1543" w14:textId="77777777" w:rsidR="00F37A50" w:rsidRPr="0086754C" w:rsidRDefault="00F37A50" w:rsidP="00F37A50">
      <w:pPr>
        <w:spacing w:before="120" w:after="120" w:line="288" w:lineRule="auto"/>
        <w:contextualSpacing/>
        <w:jc w:val="both"/>
        <w:rPr>
          <w:rFonts w:ascii="宋体" w:eastAsia="宋体" w:hAnsi="宋体" w:cs="Arial" w:hint="eastAsia"/>
          <w:sz w:val="21"/>
          <w:szCs w:val="21"/>
        </w:rPr>
      </w:pPr>
    </w:p>
    <w:p w14:paraId="1761B08A" w14:textId="77777777" w:rsidR="00F37A50" w:rsidRPr="0086754C" w:rsidRDefault="00F37A50" w:rsidP="00F37A50">
      <w:pPr>
        <w:spacing w:before="120" w:after="120" w:line="288" w:lineRule="auto"/>
        <w:contextualSpacing/>
        <w:jc w:val="both"/>
        <w:rPr>
          <w:rFonts w:ascii="宋体" w:eastAsia="宋体" w:hAnsi="宋体" w:cs="Arial" w:hint="eastAsia"/>
          <w:sz w:val="21"/>
          <w:szCs w:val="21"/>
        </w:rPr>
      </w:pPr>
    </w:p>
    <w:p w14:paraId="47819B42" w14:textId="7EB5E79B" w:rsidR="00B46A1E" w:rsidRPr="007173B3" w:rsidRDefault="00000000">
      <w:pPr>
        <w:spacing w:before="320" w:after="120" w:line="288" w:lineRule="auto"/>
        <w:contextualSpacing/>
        <w:outlineLvl w:val="1"/>
        <w:rPr>
          <w:rFonts w:ascii="黑体" w:eastAsia="黑体" w:hAnsi="黑体" w:cs="Arial" w:hint="eastAsia"/>
          <w:bCs/>
          <w:sz w:val="21"/>
          <w:szCs w:val="21"/>
        </w:rPr>
      </w:pPr>
      <w:bookmarkStart w:id="2" w:name="heading_6"/>
      <w:r w:rsidRPr="007173B3">
        <w:rPr>
          <w:rFonts w:ascii="黑体" w:eastAsia="黑体" w:hAnsi="黑体" w:cs="Arial" w:hint="eastAsia"/>
          <w:bCs/>
          <w:sz w:val="21"/>
          <w:szCs w:val="21"/>
        </w:rPr>
        <w:t>2</w:t>
      </w:r>
      <w:r w:rsidR="00A11BCD" w:rsidRPr="007173B3">
        <w:rPr>
          <w:rFonts w:ascii="黑体" w:eastAsia="黑体" w:hAnsi="黑体" w:cs="Arial" w:hint="eastAsia"/>
          <w:bCs/>
          <w:sz w:val="21"/>
          <w:szCs w:val="21"/>
        </w:rPr>
        <w:t xml:space="preserve"> </w:t>
      </w:r>
      <w:r w:rsidRPr="007173B3">
        <w:rPr>
          <w:rFonts w:ascii="黑体" w:eastAsia="黑体" w:hAnsi="黑体" w:cs="Arial"/>
          <w:bCs/>
          <w:sz w:val="21"/>
          <w:szCs w:val="21"/>
        </w:rPr>
        <w:t>国内外研究综述</w:t>
      </w:r>
      <w:bookmarkEnd w:id="2"/>
    </w:p>
    <w:p w14:paraId="2F049384" w14:textId="77777777" w:rsidR="00FB6E19" w:rsidRPr="002B2346" w:rsidRDefault="00FB6E19" w:rsidP="002B2346">
      <w:pPr>
        <w:spacing w:before="120" w:after="120" w:line="288" w:lineRule="auto"/>
        <w:ind w:firstLineChars="200" w:firstLine="420"/>
        <w:contextualSpacing/>
        <w:jc w:val="both"/>
        <w:rPr>
          <w:rFonts w:ascii="宋体" w:eastAsia="宋体" w:hAnsi="宋体" w:hint="eastAsia"/>
          <w:sz w:val="21"/>
          <w:szCs w:val="21"/>
        </w:rPr>
      </w:pPr>
      <w:r w:rsidRPr="002B2346">
        <w:rPr>
          <w:rFonts w:ascii="宋体" w:eastAsia="宋体" w:hAnsi="宋体"/>
          <w:sz w:val="21"/>
          <w:szCs w:val="21"/>
        </w:rPr>
        <w:t>国外学界与行业机构较早开展能源数据治理与油气数字化相关研究。在数据治理基础理论方面，欧美学者围绕工业数据治理提出分层架构模型，将数据标准、数据质量、数据安全与生命周期管理界定为核心治理维度，形成面向通用工业的数据治理规范框架。在油气行业实践层面，国际石油数据管理协会等机构制定油气行业数据分类、编码与交换统一标准，为企业内部数据整合与跨企业协同奠定基础；壳牌、BP、道达尔等国际油气巨头依托企业级数据中台与数据资产运营平台实现全域数据治理体系化落地，其中壳牌聚焦全域数据资产运营，建成覆盖勘探、炼化、销售全链条的数据资产目录与分级授权机制，BP 则率先探索可信数据空间建设，构建跨主体数据协同共享通道，两者均配套年度成熟度测评与分阶段技术投入规划。在数据流通层面，国外研究聚焦工业数据共享机制、数据交易模式与隐私保护技术，提出数据确权的使用权与所有权分离机制，依托隐私计算、数据脱敏与区块链溯源构建安全流通框架。行业机构层面，IDC 依托全球能源数据技术路线与 AI 成熟度基准调研，指导海外油气企业以技术成熟度曲线规划数据中台、隐私计算与行业大模型落地时序，并通过年度成熟度测评动态调整建设优先级。整体来看，国外研究已形成较完善的理论规范与企业实践范式，注重技术赋能与市场化机制结合，但相关成果多基于欧美能源监管与市场化体制，缺乏适配我国能源监管政策、国企管理体制的本土化研究。</w:t>
      </w:r>
      <w:r w:rsidRPr="002B2346">
        <w:rPr>
          <w:rFonts w:ascii="宋体" w:eastAsia="宋体" w:hAnsi="宋体"/>
          <w:sz w:val="21"/>
          <w:szCs w:val="21"/>
        </w:rPr>
      </w:r>
    </w:p>
    <w:p w14:paraId="4574AC25" w14:textId="77777777" w:rsidR="00FB6E19" w:rsidRPr="002B2346" w:rsidRDefault="00FB6E19" w:rsidP="002B2346">
      <w:pPr>
        <w:spacing w:before="120" w:after="120" w:line="288" w:lineRule="auto"/>
        <w:ind w:firstLineChars="200" w:firstLine="420"/>
        <w:contextualSpacing/>
        <w:jc w:val="both"/>
        <w:rPr>
          <w:rFonts w:ascii="宋体" w:eastAsia="宋体" w:hAnsi="宋体" w:hint="eastAsia"/>
          <w:sz w:val="21"/>
          <w:szCs w:val="21"/>
        </w:rPr>
      </w:pPr>
      <w:r w:rsidRPr="002B2346">
        <w:rPr>
          <w:rFonts w:ascii="宋体" w:eastAsia="宋体" w:hAnsi="宋体"/>
          <w:sz w:val="21"/>
          <w:szCs w:val="21"/>
        </w:rPr>
        <w:t>国内研究近年来伴随数据要素市场化改革快速升温。在宏观层面，学者围绕数据确权制度、定价机制、流通规则、收益分配与政策监管体系开展研究，明确了数据要素市场化改革的顶层逻辑与实施路径。在能源领域，现有研究多聚焦电力、新能源行业的数据治理与共享机制，针对油气行业的研究集中于单一业务环节数字化转型、数据中台建设与局部数据质量管控等方向，如油气田勘探开发数据管理技术体系 [8]、智能油田数据湖平台标准化服务 [9]、石油石化行业数据保护策略 [12] 等，均未延伸至全产业链数据治理架构设计。行业机构层面，IDC 中国油气行业十大预测与石化盈科联合 IDC 发布的石油石化数智化白皮书指出，国内油气企业数据治理普遍缺少量化成熟度诊断工具与分阶段技术落地时序设计，大数据融合、高质量数据集与大模型建设存在重复投入风险，这正是本文着力弥补的核心创新缺口。</w:t>
      </w:r>
    </w:p>
    <w:p w14:paraId="674AFA2A" w14:textId="28E8B506" w:rsidR="00B46A1E" w:rsidRPr="002B2346" w:rsidRDefault="00FB6E19" w:rsidP="002B2346">
      <w:pPr>
        <w:spacing w:before="120" w:after="120" w:line="288" w:lineRule="auto"/>
        <w:ind w:firstLineChars="200" w:firstLine="420"/>
        <w:contextualSpacing/>
        <w:jc w:val="both"/>
        <w:rPr>
          <w:rFonts w:ascii="宋体" w:eastAsia="宋体" w:hAnsi="宋体" w:hint="eastAsia"/>
          <w:sz w:val="21"/>
          <w:szCs w:val="21"/>
        </w:rPr>
      </w:pPr>
      <w:r w:rsidRPr="002B2346">
        <w:rPr>
          <w:rFonts w:ascii="宋体" w:eastAsia="宋体" w:hAnsi="宋体"/>
          <w:sz w:val="21"/>
          <w:szCs w:val="21"/>
        </w:rPr>
        <w:t>综合国内外研究现状可以发现，现有研究仍存在三方面不足。从架构维度看，研究多聚焦单一企业、单一业务环节，缺乏覆盖油气上中下游全链条的系统性治理架构；从机制维度看，通用行业流通规则难以适配油气高危、涉密、强监管的行业特性，确权、脱敏、交易、监管的闭环设计缺失；从规则维度看，现有成果未结合我国油气国企管理模式与能源安全管控要求形成差异化治理方案。本文以此为切入点，立足全产业链视角，构建专属治理体系与闭环流通机制，弥补现有研究短板。</w:t>
      </w:r>
    </w:p>
    <w:p w14:paraId="07BA1654" w14:textId="77777777" w:rsidR="00FB6E19" w:rsidRPr="009C3061" w:rsidRDefault="00FB6E19">
      <w:pPr>
        <w:spacing w:before="120" w:after="120" w:line="288" w:lineRule="auto"/>
        <w:contextualSpacing/>
        <w:jc w:val="both"/>
        <w:rPr>
          <w:rFonts w:ascii="宋体" w:eastAsia="宋体" w:hAnsi="宋体" w:hint="eastAsia"/>
          <w:sz w:val="21"/>
          <w:szCs w:val="21"/>
        </w:rPr>
      </w:pPr>
    </w:p>
    <w:p w14:paraId="123E2530" w14:textId="77777777" w:rsidR="00FB6E19" w:rsidRPr="009C3061" w:rsidRDefault="00FB6E19">
      <w:pPr>
        <w:spacing w:before="120" w:after="120" w:line="288" w:lineRule="auto"/>
        <w:contextualSpacing/>
        <w:jc w:val="both"/>
        <w:rPr>
          <w:rFonts w:ascii="宋体" w:eastAsia="宋体" w:hAnsi="宋体" w:hint="eastAsia"/>
          <w:sz w:val="21"/>
          <w:szCs w:val="21"/>
        </w:rPr>
      </w:pPr>
    </w:p>
    <w:p w14:paraId="426BFB5E" w14:textId="2383176D" w:rsidR="00B46A1E" w:rsidRPr="009C3061" w:rsidRDefault="00000000">
      <w:pPr>
        <w:spacing w:before="320" w:after="120" w:line="288" w:lineRule="auto"/>
        <w:contextualSpacing/>
        <w:outlineLvl w:val="1"/>
        <w:rPr>
          <w:rFonts w:ascii="黑体" w:eastAsia="黑体" w:hAnsi="黑体" w:cs="Arial" w:hint="eastAsia"/>
          <w:bCs/>
          <w:sz w:val="21"/>
          <w:szCs w:val="21"/>
        </w:rPr>
      </w:pPr>
      <w:r w:rsidRPr="009C3061">
        <w:rPr>
          <w:rFonts w:ascii="黑体" w:eastAsia="黑体" w:hAnsi="黑体" w:cs="Arial"/>
          <w:bCs/>
          <w:sz w:val="21"/>
          <w:szCs w:val="21"/>
        </w:rPr>
        <w:t>3 油气全产业链数据治理与流通现状及痛点分析</w:t>
      </w:r>
      <w:r w:rsidR="00A11BCD" w:rsidRPr="009C3061">
        <w:rPr>
          <w:rFonts w:ascii="黑体" w:eastAsia="黑体" w:hAnsi="黑体" w:cs="Arial" w:hint="eastAsia"/>
          <w:bCs/>
          <w:sz w:val="21"/>
          <w:szCs w:val="21"/>
        </w:rPr>
      </w:r>
      <w:r w:rsidRPr="009C3061">
        <w:rPr>
          <w:rFonts w:ascii="黑体" w:eastAsia="黑体" w:hAnsi="黑体" w:cs="Arial"/>
          <w:bCs/>
          <w:sz w:val="21"/>
          <w:szCs w:val="21"/>
        </w:rPr>
      </w:r>
    </w:p>
    <w:p w14:paraId="18586C44" w14:textId="77777777" w:rsidR="008C292A" w:rsidRPr="009C3061" w:rsidRDefault="008C292A" w:rsidP="008C292A">
      <w:pPr>
        <w:spacing w:before="120" w:after="120" w:line="288" w:lineRule="auto"/>
        <w:contextualSpacing/>
        <w:jc w:val="both"/>
        <w:rPr>
          <w:rFonts w:ascii="黑体" w:eastAsia="黑体" w:hAnsi="黑体" w:cs="Arial" w:hint="eastAsia"/>
          <w:sz w:val="21"/>
          <w:szCs w:val="21"/>
        </w:rPr>
      </w:pPr>
      <w:r w:rsidRPr="009C3061">
        <w:rPr>
          <w:rFonts w:ascii="黑体" w:eastAsia="黑体" w:hAnsi="黑体" w:cs="Arial"/>
          <w:sz w:val="21"/>
          <w:szCs w:val="21"/>
        </w:rPr>
        <w:t>3.1 核心概念界定</w:t>
      </w:r>
    </w:p>
    <w:p w14:paraId="133E1997" w14:textId="77777777" w:rsidR="008C292A" w:rsidRPr="009C3061" w:rsidRDefault="008C292A" w:rsidP="009C3061">
      <w:pPr>
        <w:spacing w:before="120" w:after="120" w:line="288" w:lineRule="auto"/>
        <w:ind w:firstLineChars="200" w:firstLine="420"/>
        <w:contextualSpacing/>
        <w:jc w:val="both"/>
        <w:rPr>
          <w:rFonts w:ascii="宋体" w:eastAsia="宋体" w:hAnsi="宋体" w:cs="Arial" w:hint="eastAsia"/>
          <w:sz w:val="21"/>
          <w:szCs w:val="21"/>
        </w:rPr>
      </w:pPr>
      <w:r w:rsidRPr="009C3061">
        <w:rPr>
          <w:rFonts w:ascii="宋体" w:eastAsia="宋体" w:hAnsi="宋体" w:cs="Arial"/>
          <w:sz w:val="21"/>
          <w:szCs w:val="21"/>
        </w:rPr>
        <w:t>油气全产业链数据是指贯穿上游勘探、中游炼化储运、下游销售及全域调度与监管全流程，产生、采集、沉淀的结构化、半结构化与非结构化数据。该类数据具有产业链关联性强、涉密敏感等级高、时序动态性强、多源异构化、安全管控严苛五大特征，治理与流通须兼顾业务协同、能源安全与隐私目标。</w:t>
      </w:r>
    </w:p>
    <w:p w14:paraId="506861C3" w14:textId="77777777" w:rsidR="008C292A" w:rsidRPr="009C3061" w:rsidRDefault="008C292A" w:rsidP="009C3061">
      <w:pPr>
        <w:spacing w:before="120" w:after="120" w:line="288" w:lineRule="auto"/>
        <w:ind w:firstLineChars="200" w:firstLine="420"/>
        <w:contextualSpacing/>
        <w:jc w:val="both"/>
        <w:rPr>
          <w:rFonts w:ascii="宋体" w:eastAsia="宋体" w:hAnsi="宋体" w:cs="Arial" w:hint="eastAsia"/>
          <w:sz w:val="21"/>
          <w:szCs w:val="21"/>
        </w:rPr>
      </w:pPr>
      <w:r w:rsidRPr="009C3061">
        <w:rPr>
          <w:rFonts w:ascii="宋体" w:eastAsia="宋体" w:hAnsi="宋体" w:cs="Arial"/>
          <w:sz w:val="21"/>
          <w:szCs w:val="21"/>
        </w:rPr>
        <w:t>油气行业数据治理遵循安全优先、业务赋能原则，由监管部门、行业协会、石油企业参与，依托统一制度标准与技术平台，对全产业链数据实施全生命周期管控，突出涉密分级管控、能源安全合规与产业链协同内涵。能源数据流通则是在明确所有权、使用权、收益权基础上，经脱敏与合规审核，实现数据在集团内部、产业链上下游及行业平台间流转增值，具有安全底线不可突破、分级强制管控、范围受政策约束、兼顾公益与市场的特殊属性。</w:t>
      </w:r>
    </w:p>
    <w:p w14:paraId="4F7B609D" w14:textId="77777777" w:rsidR="008C292A" w:rsidRPr="009C3061" w:rsidRDefault="008C292A" w:rsidP="008C292A">
      <w:pPr>
        <w:spacing w:before="120" w:after="120" w:line="288" w:lineRule="auto"/>
        <w:contextualSpacing/>
        <w:jc w:val="both"/>
        <w:rPr>
          <w:rFonts w:ascii="黑体" w:eastAsia="黑体" w:hAnsi="黑体" w:cs="Arial" w:hint="eastAsia"/>
          <w:sz w:val="21"/>
          <w:szCs w:val="21"/>
        </w:rPr>
      </w:pPr>
      <w:r w:rsidRPr="009C3061">
        <w:rPr>
          <w:rFonts w:ascii="黑体" w:eastAsia="黑体" w:hAnsi="黑体" w:cs="Arial"/>
          <w:sz w:val="21"/>
          <w:szCs w:val="21"/>
        </w:rPr>
        <w:t>3.2 发展现状与主要瓶颈</w:t>
      </w:r>
    </w:p>
    <w:p w14:paraId="4B363AA8" w14:textId="77777777" w:rsidR="008C292A" w:rsidRPr="009C3061" w:rsidRDefault="008C292A" w:rsidP="009C3061">
      <w:pPr>
        <w:spacing w:before="120" w:after="120" w:line="288" w:lineRule="auto"/>
        <w:ind w:firstLineChars="200" w:firstLine="420"/>
        <w:contextualSpacing/>
        <w:jc w:val="both"/>
        <w:rPr>
          <w:rFonts w:ascii="宋体" w:eastAsia="宋体" w:hAnsi="宋体" w:cs="Arial" w:hint="eastAsia"/>
          <w:sz w:val="21"/>
          <w:szCs w:val="21"/>
        </w:rPr>
      </w:pPr>
      <w:r w:rsidRPr="009C3061">
        <w:rPr>
          <w:rFonts w:ascii="宋体" w:eastAsia="宋体" w:hAnsi="宋体" w:cs="Arial"/>
          <w:sz w:val="21"/>
          <w:szCs w:val="21"/>
        </w:rPr>
        <w:t>近年来国内油气行业数字化转型持续提速，中石油、中石化、中海油等大型央企全面推进智慧油田、智慧炼化、智慧管网、智慧销售建设，相继上线勘探、生产、储运、销售</w:t>
      </w:r>
      <w:r w:rsidRPr="009C3061">
        <w:rPr>
          <w:rFonts w:ascii="宋体" w:eastAsia="宋体" w:hAnsi="宋体" w:cs="Arial"/>
          <w:sz w:val="21"/>
          <w:szCs w:val="21"/>
        </w:rPr>
        <w:lastRenderedPageBreak/>
        <w:t>等业务系统，实现单点数字化覆盖；大数据平台与云计算设施逐步完善，全产业链数据体量快速增长。然而转型进程与治理能力并不同步。行业层面，石油行业协会虽出台部分数据分类编码标准，但尚未形成全产业链统一标准框架；企业层面，头部石油企业虽建数据中台，开展局部数据梳理与主数据管理，但治理多集中于总部或核心板块，未下沉基层；业务运行层面，内部共享依赖线下报表与点对点传输，产业链流通停留在订单信息交互，市场化增值仍处起步阶段，生产、库存、调度等核心数据封闭隔离，海量数据资源难以转化为市场资产。</w:t>
      </w:r>
    </w:p>
    <w:p w14:paraId="7A750DC7" w14:textId="77777777" w:rsidR="008C292A" w:rsidRPr="009C3061" w:rsidRDefault="008C292A" w:rsidP="008C292A">
      <w:pPr>
        <w:spacing w:before="120" w:after="120" w:line="288" w:lineRule="auto"/>
        <w:contextualSpacing/>
        <w:jc w:val="both"/>
        <w:rPr>
          <w:rFonts w:ascii="黑体" w:eastAsia="黑体" w:hAnsi="黑体" w:cs="Arial" w:hint="eastAsia"/>
          <w:sz w:val="21"/>
          <w:szCs w:val="21"/>
        </w:rPr>
      </w:pPr>
      <w:r w:rsidRPr="009C3061">
        <w:rPr>
          <w:rFonts w:ascii="黑体" w:eastAsia="黑体" w:hAnsi="黑体" w:cs="Arial"/>
          <w:sz w:val="21"/>
          <w:szCs w:val="21"/>
        </w:rPr>
        <w:t>3.3 现存核心问题</w:t>
      </w:r>
    </w:p>
    <w:p w14:paraId="779E87D2" w14:textId="77777777" w:rsidR="008C292A" w:rsidRPr="009C3061" w:rsidRDefault="008C292A" w:rsidP="009C3061">
      <w:pPr>
        <w:spacing w:before="120" w:after="120" w:line="288" w:lineRule="auto"/>
        <w:ind w:firstLineChars="200" w:firstLine="420"/>
        <w:contextualSpacing/>
        <w:jc w:val="both"/>
        <w:rPr>
          <w:rFonts w:ascii="宋体" w:eastAsia="宋体" w:hAnsi="宋体" w:cs="Arial" w:hint="eastAsia"/>
          <w:sz w:val="21"/>
          <w:szCs w:val="21"/>
        </w:rPr>
      </w:pPr>
      <w:r w:rsidRPr="009C3061">
        <w:rPr>
          <w:rFonts w:ascii="宋体" w:eastAsia="宋体" w:hAnsi="宋体" w:cs="Arial"/>
          <w:sz w:val="21"/>
          <w:szCs w:val="21"/>
        </w:rPr>
        <w:t>现存核心问题集中体现在治理、流通、安全合规与赋能四个层面。</w:t>
      </w:r>
    </w:p>
    <w:p w14:paraId="17CD7F4C" w14:textId="77777777" w:rsidR="008C292A" w:rsidRPr="009C3061" w:rsidRDefault="008C292A" w:rsidP="008C292A">
      <w:pPr>
        <w:spacing w:before="120" w:after="120" w:line="288" w:lineRule="auto"/>
        <w:contextualSpacing/>
        <w:jc w:val="both"/>
        <w:rPr>
          <w:rFonts w:ascii="黑体" w:eastAsia="黑体" w:hAnsi="黑体" w:cs="Arial" w:hint="eastAsia"/>
          <w:sz w:val="21"/>
          <w:szCs w:val="21"/>
        </w:rPr>
      </w:pPr>
      <w:r w:rsidRPr="009C3061">
        <w:rPr>
          <w:rFonts w:ascii="黑体" w:eastAsia="黑体" w:hAnsi="黑体" w:cs="Arial"/>
          <w:sz w:val="21"/>
          <w:szCs w:val="21"/>
        </w:rPr>
        <w:t>3.3.1 数据治理层面问题</w:t>
      </w:r>
    </w:p>
    <w:p w14:paraId="419951C3" w14:textId="77777777" w:rsidR="008C292A" w:rsidRPr="009C3061" w:rsidRDefault="008C292A" w:rsidP="009C3061">
      <w:pPr>
        <w:spacing w:before="120" w:after="120" w:line="288" w:lineRule="auto"/>
        <w:ind w:firstLineChars="200" w:firstLine="420"/>
        <w:contextualSpacing/>
        <w:jc w:val="both"/>
        <w:rPr>
          <w:rFonts w:ascii="宋体" w:eastAsia="宋体" w:hAnsi="宋体" w:cs="Arial" w:hint="eastAsia"/>
          <w:sz w:val="21"/>
          <w:szCs w:val="21"/>
        </w:rPr>
      </w:pPr>
      <w:r w:rsidRPr="009C3061">
        <w:rPr>
          <w:rFonts w:ascii="宋体" w:eastAsia="宋体" w:hAnsi="宋体" w:cs="Arial"/>
          <w:sz w:val="21"/>
          <w:szCs w:val="21"/>
        </w:rPr>
        <w:t>当前数据治理层面的矛盾集中于标准、质量、权责与生命周期维度。标准维度上，各企业、各系统自行定义编码、口径与接口，同一生产指标在不同系统中口径、单位各异，跨系统数据难以融合；质量维度上，采集缺乏标准化流程，录入错误、缺失、滞后、冗余等问题普遍，常态化校验机制缺位；权责维度上，数据生产、管理、使用主体职责不明，缺乏专职团队牵头，部门间推诿扯皮；全生命周期维度上，管控仅覆盖采集与应用环节，存储、共享、销毁缺乏约束，过期闲置与违规留存风险突出。</w:t>
      </w:r>
    </w:p>
    <w:p w14:paraId="31E286CC" w14:textId="77777777" w:rsidR="008C292A" w:rsidRPr="009C3061" w:rsidRDefault="008C292A" w:rsidP="008C292A">
      <w:pPr>
        <w:spacing w:before="120" w:after="120" w:line="288" w:lineRule="auto"/>
        <w:contextualSpacing/>
        <w:jc w:val="both"/>
        <w:rPr>
          <w:rFonts w:ascii="宋体" w:eastAsia="宋体" w:hAnsi="宋体" w:cs="Arial" w:hint="eastAsia"/>
          <w:sz w:val="21"/>
          <w:szCs w:val="21"/>
        </w:rPr>
      </w:pPr>
      <w:r w:rsidRPr="009C3061">
        <w:rPr>
          <w:rFonts w:ascii="宋体" w:eastAsia="宋体" w:hAnsi="宋体" w:cs="Arial"/>
          <w:b/>
          <w:bCs/>
          <w:sz w:val="21"/>
          <w:szCs w:val="21"/>
        </w:rPr>
        <w:t>3.3.2 数据流通层面问题</w:t>
      </w:r>
    </w:p>
    <w:p w14:paraId="5A5A1B98" w14:textId="77777777" w:rsidR="008C292A" w:rsidRPr="009C3061" w:rsidRDefault="008C292A" w:rsidP="009C3061">
      <w:pPr>
        <w:spacing w:before="120" w:after="120" w:line="288" w:lineRule="auto"/>
        <w:ind w:firstLineChars="200" w:firstLine="420"/>
        <w:contextualSpacing/>
        <w:jc w:val="both"/>
        <w:rPr>
          <w:rFonts w:ascii="宋体" w:eastAsia="宋体" w:hAnsi="宋体" w:cs="Arial" w:hint="eastAsia"/>
          <w:sz w:val="21"/>
          <w:szCs w:val="21"/>
        </w:rPr>
      </w:pPr>
      <w:r w:rsidRPr="009C3061">
        <w:rPr>
          <w:rFonts w:ascii="宋体" w:eastAsia="宋体" w:hAnsi="宋体" w:cs="Arial"/>
          <w:sz w:val="21"/>
          <w:szCs w:val="21"/>
        </w:rPr>
        <w:t>数据流通层面的瓶颈体现在确权、通道、机制与交易四个环节。确权环节上，公共数据、经营数据与业务专属数据的权属划分不明，流通缺乏权属依据，制约共享意愿；通道建设上，部门壁垒、产业链壁垒与行业壁垒叠加，常态化共享通道缺失；机制运行上，共享多依赖被动申请与人工审批，缺乏分级授权与自动流转的智能机制，难以匹配协同需求；交易环节上，适配油气行业的数据交易场所与定价标准尚未建立，数据产品面临确权难、估值难、交易难，资产化缺乏载体。</w:t>
      </w:r>
    </w:p>
    <w:p w14:paraId="4DE18E1A" w14:textId="77777777" w:rsidR="008C292A" w:rsidRPr="009C3061" w:rsidRDefault="008C292A" w:rsidP="008C292A">
      <w:pPr>
        <w:spacing w:before="120" w:after="120" w:line="288" w:lineRule="auto"/>
        <w:contextualSpacing/>
        <w:jc w:val="both"/>
        <w:rPr>
          <w:rFonts w:ascii="宋体" w:eastAsia="宋体" w:hAnsi="宋体" w:cs="Arial" w:hint="eastAsia"/>
          <w:sz w:val="21"/>
          <w:szCs w:val="21"/>
        </w:rPr>
      </w:pPr>
      <w:r w:rsidRPr="009C3061">
        <w:rPr>
          <w:rFonts w:ascii="宋体" w:eastAsia="宋体" w:hAnsi="宋体" w:cs="Arial"/>
          <w:b/>
          <w:bCs/>
          <w:sz w:val="21"/>
          <w:szCs w:val="21"/>
        </w:rPr>
        <w:t>3.3.3 安全合规层面问题</w:t>
      </w:r>
    </w:p>
    <w:p w14:paraId="61156D42" w14:textId="77777777" w:rsidR="008C292A" w:rsidRPr="009C3061" w:rsidRDefault="008C292A" w:rsidP="009C3061">
      <w:pPr>
        <w:spacing w:before="120" w:after="120" w:line="288" w:lineRule="auto"/>
        <w:ind w:firstLineChars="200" w:firstLine="420"/>
        <w:contextualSpacing/>
        <w:jc w:val="both"/>
        <w:rPr>
          <w:rFonts w:ascii="宋体" w:eastAsia="宋体" w:hAnsi="宋体" w:cs="Arial" w:hint="eastAsia"/>
          <w:sz w:val="21"/>
          <w:szCs w:val="21"/>
        </w:rPr>
      </w:pPr>
      <w:r w:rsidRPr="009C3061">
        <w:rPr>
          <w:rFonts w:ascii="宋体" w:eastAsia="宋体" w:hAnsi="宋体" w:cs="Arial"/>
          <w:sz w:val="21"/>
          <w:szCs w:val="21"/>
        </w:rPr>
        <w:t>安全合规层面的短板集中于涉密边界、监管机制与制度适配三方面。涉密边界上，地质勘探、油气储量、管网布局、生产调度等核心涉密数据缺乏精细化分级标准，与经营数据混杂管理；监管机制上，数据共享、流转与对外提供缺乏全流程审核、溯源与监控，涉密泄露与外流隐患突出；制度适配上，通用数据安全法规难以完全适配油气能源安全的特殊要求，行业专属流通合规规范空白。</w:t>
      </w:r>
    </w:p>
    <w:p w14:paraId="0E0D79CF" w14:textId="77777777" w:rsidR="008C292A" w:rsidRPr="009C3061" w:rsidRDefault="008C292A" w:rsidP="008C292A">
      <w:pPr>
        <w:spacing w:before="120" w:after="120" w:line="288" w:lineRule="auto"/>
        <w:contextualSpacing/>
        <w:jc w:val="both"/>
        <w:rPr>
          <w:rFonts w:ascii="宋体" w:eastAsia="宋体" w:hAnsi="宋体" w:cs="Arial" w:hint="eastAsia"/>
          <w:sz w:val="21"/>
          <w:szCs w:val="21"/>
        </w:rPr>
      </w:pPr>
      <w:r w:rsidRPr="009C3061">
        <w:rPr>
          <w:rFonts w:ascii="宋体" w:eastAsia="宋体" w:hAnsi="宋体" w:cs="Arial"/>
          <w:b/>
          <w:bCs/>
          <w:sz w:val="21"/>
          <w:szCs w:val="21"/>
        </w:rPr>
        <w:t>3.3.4 价值赋能层面问题</w:t>
      </w:r>
    </w:p>
    <w:p w14:paraId="3606C534" w14:textId="77777777" w:rsidR="008C292A" w:rsidRPr="009C3061" w:rsidRDefault="008C292A" w:rsidP="009C3061">
      <w:pPr>
        <w:spacing w:before="120" w:after="120" w:line="288" w:lineRule="auto"/>
        <w:ind w:firstLineChars="200" w:firstLine="420"/>
        <w:contextualSpacing/>
        <w:jc w:val="both"/>
        <w:rPr>
          <w:rFonts w:ascii="宋体" w:eastAsia="宋体" w:hAnsi="宋体" w:cs="Arial" w:hint="eastAsia"/>
          <w:sz w:val="21"/>
          <w:szCs w:val="21"/>
        </w:rPr>
      </w:pPr>
      <w:r w:rsidRPr="009C3061">
        <w:rPr>
          <w:rFonts w:ascii="宋体" w:eastAsia="宋体" w:hAnsi="宋体" w:cs="Arial"/>
          <w:sz w:val="21"/>
          <w:szCs w:val="21"/>
        </w:rPr>
        <w:t>价值赋能层面的制约体现在沉淀、资产化与协同三个环节。沉淀环节上，大量历史与业务数据分散于孤立系统，缺乏整合梳理与挖掘，资源闲置；资产化环节上，数据盘点、资产登记与产品化加工能力不足，原始数据难以转化为可交易、可增值的产品；协同赋能上，数据难以在勘探、炼化、储运、销售间高效流转，产销精准匹配与产业链降本增效缺乏支撑。</w:t>
      </w:r>
    </w:p>
    <w:p w14:paraId="3CC82EE9" w14:textId="77777777" w:rsidR="008C292A" w:rsidRPr="009C3061" w:rsidRDefault="008C292A" w:rsidP="008C292A">
      <w:pPr>
        <w:spacing w:before="120" w:after="120" w:line="288" w:lineRule="auto"/>
        <w:contextualSpacing/>
        <w:jc w:val="both"/>
        <w:rPr>
          <w:rFonts w:ascii="宋体" w:eastAsia="宋体" w:hAnsi="宋体" w:cs="Arial" w:hint="eastAsia"/>
          <w:sz w:val="21"/>
          <w:szCs w:val="21"/>
        </w:rPr>
      </w:pPr>
      <w:r w:rsidRPr="009C3061">
        <w:rPr>
          <w:rFonts w:ascii="宋体" w:eastAsia="宋体" w:hAnsi="宋体" w:cs="Arial"/>
          <w:b/>
          <w:bCs/>
          <w:sz w:val="21"/>
          <w:szCs w:val="21"/>
        </w:rPr>
        <w:t>3.4 问题根源剖析</w:t>
      </w:r>
    </w:p>
    <w:p w14:paraId="7C173842" w14:textId="1F4A3A07" w:rsidR="00977B9E" w:rsidRPr="00801CA3" w:rsidRDefault="008C292A" w:rsidP="0052781F">
      <w:pPr>
        <w:spacing w:before="120" w:after="120" w:line="288" w:lineRule="auto"/>
        <w:ind w:firstLineChars="200" w:firstLine="420"/>
        <w:contextualSpacing/>
        <w:jc w:val="both"/>
        <w:rPr>
          <w:rFonts w:ascii="宋体" w:eastAsia="宋体" w:hAnsi="宋体" w:cs="Arial" w:hint="eastAsia"/>
          <w:sz w:val="21"/>
          <w:szCs w:val="21"/>
        </w:rPr>
      </w:pPr>
      <w:r w:rsidRPr="009C3061">
        <w:rPr>
          <w:rFonts w:ascii="宋体" w:eastAsia="宋体" w:hAnsi="宋体" w:cs="Arial"/>
          <w:sz w:val="21"/>
          <w:szCs w:val="21"/>
        </w:rPr>
        <w:t>上述问题具有系统性根源，归结为架构、制度、技术与权责四方面。顶层架构缺失是治理层面问题频发的直接原因，国家与行业层面缺乏覆盖全产业链的治理顶层设计，各企业各自为战、自行建设；制度框架滞后制约确权与交易问题解决，适配油气行业特性的数据流通法规、管理制度与标准规范滞后，确权、分级、脱敏、分配与交易制度均不完善；技术支撑不足使共享通道与监管难以落地，数据集成、融合、隐私计算、脱敏、区块链溯源等核心技术应用不足，跨系统接口不统一，涉密数据安全流通与可用不可见能力欠缺；权责机制不清弱化协同与资产化组织保障，集团、子公司、业务部门三级权责未建立，专职组织与考核激励缺位，各主体共享积极性不足。</w:t>
      </w:r>
      <w:r w:rsidRPr="009C3061">
        <w:rPr>
          <w:rFonts w:ascii="宋体" w:eastAsia="宋体" w:hAnsi="宋体" w:cs="Arial"/>
          <w:sz w:val="21"/>
          <w:szCs w:val="21"/>
        </w:rPr>
      </w:r>
    </w:p>
    <w:p w14:paraId="1A5364DF" w14:textId="77777777" w:rsidR="00B46A1E" w:rsidRPr="00801CA3" w:rsidRDefault="00B46A1E" w:rsidP="00801CA3">
      <w:pPr>
        <w:spacing w:before="120" w:after="120" w:line="288" w:lineRule="auto"/>
        <w:contextualSpacing/>
        <w:jc w:val="both"/>
        <w:rPr>
          <w:rFonts w:ascii="宋体" w:eastAsia="宋体" w:hAnsi="宋体" w:hint="eastAsia"/>
          <w:sz w:val="21"/>
          <w:szCs w:val="21"/>
        </w:rPr>
      </w:pPr>
    </w:p>
    <w:p w14:paraId="0C516F0B" w14:textId="77267CA6" w:rsidR="00B46A1E" w:rsidRPr="00801CA3" w:rsidRDefault="00000000" w:rsidP="00801CA3">
      <w:pPr>
        <w:spacing w:before="320" w:after="120" w:line="288" w:lineRule="auto"/>
        <w:contextualSpacing/>
        <w:jc w:val="both"/>
        <w:outlineLvl w:val="1"/>
        <w:rPr>
          <w:rFonts w:ascii="宋体" w:eastAsia="宋体" w:hAnsi="宋体" w:cs="Arial" w:hint="eastAsia"/>
          <w:b/>
          <w:sz w:val="21"/>
          <w:szCs w:val="21"/>
        </w:rPr>
      </w:pPr>
      <w:bookmarkStart w:id="3" w:name="heading_36"/>
      <w:r w:rsidRPr="00801CA3">
        <w:rPr>
          <w:rFonts w:ascii="宋体" w:eastAsia="宋体" w:hAnsi="宋体" w:cs="Arial" w:hint="eastAsia"/>
          <w:b/>
          <w:sz w:val="21"/>
          <w:szCs w:val="21"/>
        </w:rPr>
        <w:t>4</w:t>
      </w:r>
      <w:r w:rsidR="00A11BCD" w:rsidRPr="00801CA3">
        <w:rPr>
          <w:rFonts w:ascii="宋体" w:eastAsia="宋体" w:hAnsi="宋体" w:cs="Arial" w:hint="eastAsia"/>
          <w:b/>
          <w:sz w:val="21"/>
          <w:szCs w:val="21"/>
        </w:rPr>
        <w:t xml:space="preserve"> </w:t>
      </w:r>
      <w:r w:rsidRPr="00801CA3">
        <w:rPr>
          <w:rFonts w:ascii="宋体" w:eastAsia="宋体" w:hAnsi="宋体" w:cs="Arial"/>
          <w:b/>
          <w:sz w:val="21"/>
          <w:szCs w:val="21"/>
        </w:rPr>
        <w:t>油气全产业链一体化数据治理体系构建</w:t>
      </w:r>
      <w:bookmarkStart w:id="4" w:name="heading_38"/>
      <w:bookmarkEnd w:id="3"/>
    </w:p>
    <w:bookmarkEnd w:id="4"/>
    <w:p w14:paraId="1BE30A24" w14:textId="77777777" w:rsidR="007C66B3" w:rsidRPr="00801CA3" w:rsidRDefault="007C66B3" w:rsidP="00490265">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油气全产业链数据治理架构以系统理论为构建基础，在数据治理、要素市场化、产业链协同、能源数字化转型与监管合规五大基础理论之上，引入IDC TechScape数据技术成熟度理论与IDC MaturityScape数智化与人工智能双成熟度评估理论作为分层落地与量化评估支撑，锚定集团能源化工行业大模型与智能体专项项目，打通数据治理、大数据融合挖掘、多模态标注工具研制、高质量数据集生产与行业大模型训练迭代的一体化链路，形成基础理论定框架、IDC双工具定路径、五层架构做载体、大模型专项挖价值、闭环机制促转化的落地架构。</w:t>
      </w:r>
    </w:p>
    <w:p w14:paraId="1D9E4095" w14:textId="43DBE4D1" w:rsidR="007C66B3" w:rsidRPr="00490265" w:rsidRDefault="007C66B3" w:rsidP="00801CA3">
      <w:pPr>
        <w:spacing w:before="120" w:after="120" w:line="288" w:lineRule="auto"/>
        <w:contextualSpacing/>
        <w:jc w:val="both"/>
        <w:rPr>
          <w:rFonts w:ascii="宋体" w:eastAsia="宋体" w:hAnsi="宋体" w:hint="eastAsia"/>
          <w:b/>
          <w:bCs/>
          <w:sz w:val="21"/>
          <w:szCs w:val="21"/>
        </w:rPr>
      </w:pPr>
      <w:r w:rsidRPr="00490265">
        <w:rPr>
          <w:rFonts w:ascii="宋体" w:eastAsia="宋体" w:hAnsi="宋体"/>
          <w:b/>
          <w:bCs/>
          <w:sz w:val="21"/>
          <w:szCs w:val="21"/>
        </w:rPr>
        <w:t>4.1 理论基础</w:t>
      </w:r>
    </w:p>
    <w:p w14:paraId="0381334A" w14:textId="5F2C90AD" w:rsidR="007C66B3" w:rsidRPr="00490265" w:rsidRDefault="007C66B3" w:rsidP="00801CA3">
      <w:pPr>
        <w:spacing w:before="120" w:after="120" w:line="288" w:lineRule="auto"/>
        <w:contextualSpacing/>
        <w:jc w:val="both"/>
        <w:rPr>
          <w:rFonts w:ascii="宋体" w:eastAsia="宋体" w:hAnsi="宋体" w:hint="eastAsia"/>
          <w:b/>
          <w:bCs/>
          <w:sz w:val="21"/>
          <w:szCs w:val="21"/>
        </w:rPr>
      </w:pPr>
      <w:r w:rsidRPr="00490265">
        <w:rPr>
          <w:rFonts w:ascii="宋体" w:eastAsia="宋体" w:hAnsi="宋体"/>
          <w:b/>
          <w:bCs/>
          <w:sz w:val="21"/>
          <w:szCs w:val="21"/>
        </w:rPr>
        <w:t>4.1.1 传统基础理论</w:t>
      </w:r>
    </w:p>
    <w:p w14:paraId="0E995E66" w14:textId="77777777" w:rsidR="007C66B3" w:rsidRPr="00801CA3" w:rsidRDefault="007C66B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数据治理理论涵盖标准、质量、安全与生命周期管理四大模块，分别聚焦分类编码与交换接口的统一、完整性准确性一致性时效性的校验、权限加密脱敏与风险防控、采集至销毁的全流程管控，构成分层治理的核心支撑。数据要素市场化理论包含确权、定价、流通、分配与监管五大内容，确权区分所有权与使用权，定价依据成本、场景与增值效益形成多元模式，流通构建场内场外结合渠道，分配平衡各主体利益，监管建立合规约束与追责机制，为闭环流通机制提供底层逻辑。产业链协同理论强调上中下游通过资源共享、信息互通与业务联动实现整体增效，油气各环节业务高度关联，勘探数据支撑炼化计划、储运数据保障终端供给，数据已成为产业链协同的核心纽带。能源数字化转型理论主张以数字技术重构业务流程与产业生态，能源监管合规理论明确油气数据须遵守国家安全与能源保密等法律法规，划定采集、共享、流通与交易的合规边界，为安全优先原则与分级管控提供政策依据。</w:t>
      </w:r>
    </w:p>
    <w:p w14:paraId="70C65315" w14:textId="38F4DB40" w:rsidR="007C66B3" w:rsidRPr="00490265" w:rsidRDefault="007C66B3" w:rsidP="00801CA3">
      <w:pPr>
        <w:spacing w:before="120" w:after="120" w:line="288" w:lineRule="auto"/>
        <w:contextualSpacing/>
        <w:jc w:val="both"/>
        <w:rPr>
          <w:rFonts w:ascii="宋体" w:eastAsia="宋体" w:hAnsi="宋体" w:hint="eastAsia"/>
          <w:b/>
          <w:bCs/>
          <w:sz w:val="21"/>
          <w:szCs w:val="21"/>
        </w:rPr>
      </w:pPr>
      <w:r w:rsidRPr="00490265">
        <w:rPr>
          <w:rFonts w:ascii="宋体" w:eastAsia="宋体" w:hAnsi="宋体"/>
          <w:b/>
          <w:bCs/>
          <w:sz w:val="21"/>
          <w:szCs w:val="21"/>
        </w:rPr>
        <w:t>4.1.2 IDC TechScape数据技术成熟度理论</w:t>
      </w:r>
    </w:p>
    <w:p w14:paraId="036E35AF" w14:textId="77777777" w:rsidR="007C66B3" w:rsidRPr="00801CA3" w:rsidRDefault="007C66B3" w:rsidP="00490265">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IDC TechScape数据技术成熟度曲线是判断大数据融合、数据集建设与大模型项目分阶段投入的核心工具，区分成熟技术优先落地、成长技术试点布局、突破技术专项攻关、萌芽技术前瞻预研，规避盲目上马大模型等高成本技术，解决融合重复建设、标注自研无序与数据集质量不匹配等痛点。按照技术成熟度划分为四阶段，成熟应用期全域强制部署，涵盖数据分类分级、质量校验、主数据管理与基础数据中台等底座技术；快速成长期依托专项试点，涵盖隐私计算、联邦学习、区块链溯源、可信数据空间与半自动标注工具；技术突破期由研究院牵头，涵盖垂直大模型、密态训推与全自动标注工具；概念萌芽期仅开展数据资产通证、量子加密与自主进化智能体预研。</w:t>
      </w:r>
    </w:p>
    <w:p w14:paraId="571B10A3" w14:textId="302A48A9" w:rsidR="007C66B3" w:rsidRPr="00490265" w:rsidRDefault="007C66B3" w:rsidP="00801CA3">
      <w:pPr>
        <w:spacing w:before="120" w:after="120" w:line="288" w:lineRule="auto"/>
        <w:contextualSpacing/>
        <w:jc w:val="both"/>
        <w:rPr>
          <w:rFonts w:ascii="宋体" w:eastAsia="宋体" w:hAnsi="宋体" w:hint="eastAsia"/>
          <w:b/>
          <w:bCs/>
          <w:sz w:val="21"/>
          <w:szCs w:val="21"/>
        </w:rPr>
      </w:pPr>
      <w:r w:rsidRPr="00490265">
        <w:rPr>
          <w:rFonts w:ascii="宋体" w:eastAsia="宋体" w:hAnsi="宋体"/>
          <w:b/>
          <w:bCs/>
          <w:sz w:val="21"/>
          <w:szCs w:val="21"/>
        </w:rPr>
        <w:t>4.1.3 IDC MaturityScape双成熟度评估理论</w:t>
      </w:r>
    </w:p>
    <w:p w14:paraId="445A28E3" w14:textId="77777777" w:rsidR="007C66B3" w:rsidRPr="00801CA3" w:rsidRDefault="007C66B3" w:rsidP="00490265">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IDC MaturityScape双成熟度模型是集团、子公司与基层单位大数据融合、数据集建设与大模型落地成效的统一量化标尺，旨在精准识别各层级能力短板并输出分单位整改路线。该模型包含五级成熟度框架，L1零散试探阶段仅开展零散数据统计，无统一融合底座与治理制度；L2机会试点阶段局部板块简单汇聚数据，跨产业链孤岛未打通，仅人工标注；L3可复用协同阶段建成集团统一数据中台与融合底座，形成分场景标准化数据集并纳入大模型数据供给池；L4管控转型阶段建成完整流通闭环，隐私计算规模化部署，行业大模型全域赋能；L5优化驱动阶段建成全产业链可信数据空间，数据集资产常态化场内交易，形成跨行业联合建模生态。两大工具与集团大模型专项协同运作，TechScape从技术供给侧</w:t>
      </w:r>
      <w:r w:rsidRPr="00801CA3">
        <w:rPr>
          <w:rFonts w:ascii="宋体" w:eastAsia="宋体" w:hAnsi="宋体"/>
          <w:sz w:val="21"/>
          <w:szCs w:val="21"/>
        </w:rPr>
        <w:lastRenderedPageBreak/>
        <w:t>明确落地时序与投入优先级，MaturityScape从企业能力侧建立量化评估标尺。</w:t>
      </w:r>
    </w:p>
    <w:p w14:paraId="51DF66FA" w14:textId="77777777" w:rsidR="007C66B3" w:rsidRPr="00801CA3" w:rsidRDefault="007C66B3" w:rsidP="00801CA3">
      <w:pPr>
        <w:spacing w:before="120" w:after="120" w:line="288" w:lineRule="auto"/>
        <w:contextualSpacing/>
        <w:jc w:val="both"/>
        <w:rPr>
          <w:rFonts w:ascii="宋体" w:eastAsia="宋体" w:hAnsi="宋体" w:hint="eastAsia"/>
          <w:sz w:val="21"/>
          <w:szCs w:val="21"/>
        </w:rPr>
      </w:pPr>
    </w:p>
    <w:p w14:paraId="027E6ED9" w14:textId="3828A4FA" w:rsidR="007C66B3" w:rsidRPr="00490265" w:rsidRDefault="007C66B3" w:rsidP="00801CA3">
      <w:pPr>
        <w:spacing w:before="120" w:after="120" w:line="288" w:lineRule="auto"/>
        <w:contextualSpacing/>
        <w:jc w:val="both"/>
        <w:rPr>
          <w:rFonts w:ascii="宋体" w:eastAsia="宋体" w:hAnsi="宋体" w:hint="eastAsia"/>
          <w:b/>
          <w:bCs/>
          <w:sz w:val="21"/>
          <w:szCs w:val="21"/>
        </w:rPr>
      </w:pPr>
      <w:r w:rsidRPr="00490265">
        <w:rPr>
          <w:rFonts w:ascii="宋体" w:eastAsia="宋体" w:hAnsi="宋体"/>
          <w:b/>
          <w:bCs/>
          <w:sz w:val="21"/>
          <w:szCs w:val="21"/>
        </w:rPr>
        <w:t>4.2 建设目标与落地原则</w:t>
      </w:r>
    </w:p>
    <w:p w14:paraId="0F6FFCF4" w14:textId="643B5592" w:rsidR="007C66B3" w:rsidRPr="00490265" w:rsidRDefault="007C66B3" w:rsidP="00801CA3">
      <w:pPr>
        <w:spacing w:before="120" w:after="120" w:line="288" w:lineRule="auto"/>
        <w:contextualSpacing/>
        <w:jc w:val="both"/>
        <w:rPr>
          <w:rFonts w:ascii="宋体" w:eastAsia="宋体" w:hAnsi="宋体" w:hint="eastAsia"/>
          <w:b/>
          <w:bCs/>
          <w:sz w:val="21"/>
          <w:szCs w:val="21"/>
        </w:rPr>
      </w:pPr>
      <w:r w:rsidRPr="00490265">
        <w:rPr>
          <w:rFonts w:ascii="宋体" w:eastAsia="宋体" w:hAnsi="宋体"/>
          <w:b/>
          <w:bCs/>
          <w:sz w:val="21"/>
          <w:szCs w:val="21"/>
        </w:rPr>
        <w:t>4.2.1 核心建设目标</w:t>
      </w:r>
    </w:p>
    <w:p w14:paraId="5647DFB3" w14:textId="77777777" w:rsidR="007C66B3" w:rsidRPr="00801CA3" w:rsidRDefault="007C66B3" w:rsidP="00490265">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以合规可控、标准统一、质量可控、全域共享与价值增值为总目标，搭建覆盖上中下游的一体化数据治理架构，实现数据标准全域统一、质量全程可控、安全分级防护与资源全域共享。结合IDC双评估工具与集团大模型专项，目标分三阶段推进，短期（1至2年）完成成熟度L2向L3跃迁，全覆盖成熟应用期底座技术，搭建四大业务场景基础数据集；中期（2至3年）集团主体单位达到L4，规模化落地隐私计算、可信数据空间与融合挖掘平台，形成可持续迭代的数据集生产线；长期（3至5年）标杆单位达到L5，完成突破期技术规模落地，建成行业统一数据集交易与联合建模生态，实现数据资产商业化增值。</w:t>
      </w:r>
    </w:p>
    <w:p w14:paraId="0E7523B1" w14:textId="04496F7F" w:rsidR="007C66B3" w:rsidRPr="00490265" w:rsidRDefault="007C66B3" w:rsidP="00801CA3">
      <w:pPr>
        <w:spacing w:before="120" w:after="120" w:line="288" w:lineRule="auto"/>
        <w:contextualSpacing/>
        <w:jc w:val="both"/>
        <w:rPr>
          <w:rFonts w:ascii="宋体" w:eastAsia="宋体" w:hAnsi="宋体" w:hint="eastAsia"/>
          <w:b/>
          <w:bCs/>
          <w:sz w:val="21"/>
          <w:szCs w:val="21"/>
        </w:rPr>
      </w:pPr>
      <w:r w:rsidRPr="00490265">
        <w:rPr>
          <w:rFonts w:ascii="宋体" w:eastAsia="宋体" w:hAnsi="宋体"/>
          <w:b/>
          <w:bCs/>
          <w:sz w:val="21"/>
          <w:szCs w:val="21"/>
        </w:rPr>
        <w:t>4.2.2 建设与管控原则</w:t>
      </w:r>
    </w:p>
    <w:p w14:paraId="3EE6E65D" w14:textId="77777777" w:rsidR="007C66B3" w:rsidRDefault="007C66B3" w:rsidP="00490265">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建设遵循五项基础原则，即安全优先、业务赋能、统一规范、分级治理与循序渐进，分别要求严守涉密底线并分级分类管控、以产业链需求为导向服务生产运营、全产业链统一标准制度与技术架构、按集团子公司与业务部门分层差异管控、先标准建设与质量整改再共享流通与资产增值。配套三项管控原则，技术分序落地要求严格按照成熟应用期到概念萌芽期的顺序投入建设，成熟度未达L3的单位不得超前采购全自动标注、密态训推等高成本技术，大模型相关立项统一纳入集团专项统筹；成熟度分级管控要求基于年度测评对L1至L5单位差异化开放算力、标注工具、数据集生产与训练数据供给权限；数据与模型双向协同要求融合、标注、数据集加工标准同步适配大模型训练输入要求，依托大模型反向赋能自动清洗、异常识别与智能标注，形成治理产数据、数据训模型、模型优治理的闭环。</w:t>
      </w:r>
    </w:p>
    <w:p w14:paraId="08388FD5" w14:textId="77777777" w:rsidR="00490265" w:rsidRPr="00801CA3" w:rsidRDefault="00490265" w:rsidP="00490265">
      <w:pPr>
        <w:spacing w:before="120" w:after="120" w:line="288" w:lineRule="auto"/>
        <w:contextualSpacing/>
        <w:jc w:val="both"/>
        <w:rPr>
          <w:rFonts w:ascii="宋体" w:eastAsia="宋体" w:hAnsi="宋体" w:hint="eastAsia"/>
          <w:sz w:val="21"/>
          <w:szCs w:val="21"/>
        </w:rPr>
      </w:pPr>
    </w:p>
    <w:p w14:paraId="60280551" w14:textId="5598E089" w:rsidR="007C66B3" w:rsidRPr="00490265" w:rsidRDefault="007C66B3" w:rsidP="00801CA3">
      <w:pPr>
        <w:spacing w:before="120" w:after="120" w:line="288" w:lineRule="auto"/>
        <w:contextualSpacing/>
        <w:jc w:val="both"/>
        <w:rPr>
          <w:rFonts w:ascii="宋体" w:eastAsia="宋体" w:hAnsi="宋体" w:hint="eastAsia"/>
          <w:b/>
          <w:bCs/>
          <w:sz w:val="21"/>
          <w:szCs w:val="21"/>
        </w:rPr>
      </w:pPr>
      <w:r w:rsidRPr="00490265">
        <w:rPr>
          <w:rFonts w:ascii="宋体" w:eastAsia="宋体" w:hAnsi="宋体"/>
          <w:b/>
          <w:bCs/>
          <w:sz w:val="21"/>
          <w:szCs w:val="21"/>
        </w:rPr>
        <w:t>4.3 五层一体化治理架构</w:t>
      </w:r>
    </w:p>
    <w:p w14:paraId="7A60DB4D" w14:textId="77777777" w:rsidR="007C66B3" w:rsidRPr="00801CA3" w:rsidRDefault="007C66B3" w:rsidP="00490265">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本文构建顶层制度层、标准规范层、技术平台层、数据管理层与应用服务层五层治理架构，各层级自上而下提供支撑、自下而上反馈信息，以集团大模型专项为牵引，形成统筹规划、分层落地、成熟度动态迭代的闭环格局。</w:t>
      </w:r>
    </w:p>
    <w:p w14:paraId="10B6AD3E" w14:textId="4CC705C0" w:rsidR="007C66B3" w:rsidRPr="00490265" w:rsidRDefault="007C66B3" w:rsidP="00801CA3">
      <w:pPr>
        <w:spacing w:before="120" w:after="120" w:line="288" w:lineRule="auto"/>
        <w:contextualSpacing/>
        <w:jc w:val="both"/>
        <w:rPr>
          <w:rFonts w:ascii="宋体" w:eastAsia="宋体" w:hAnsi="宋体" w:hint="eastAsia"/>
          <w:b/>
          <w:bCs/>
          <w:sz w:val="21"/>
          <w:szCs w:val="21"/>
        </w:rPr>
      </w:pPr>
      <w:r w:rsidRPr="00490265">
        <w:rPr>
          <w:rFonts w:ascii="宋体" w:eastAsia="宋体" w:hAnsi="宋体"/>
          <w:b/>
          <w:bCs/>
          <w:sz w:val="21"/>
          <w:szCs w:val="21"/>
        </w:rPr>
        <w:t>4.3.1 顶层制度层</w:t>
      </w:r>
    </w:p>
    <w:p w14:paraId="4B20E649" w14:textId="77777777" w:rsidR="007C66B3" w:rsidRPr="00801CA3" w:rsidRDefault="007C66B3" w:rsidP="00490265">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顶层制度层是整个治理架构的规则基础，重点建立治理管理、权责管理、考核激励与合规安全四类制度，分别明确总体章程与工作流程、划定各方权责边界、将数据治理与共享质量纳入绩效考核、制定涉密管控与违规追责规则。制度层面，成熟度评估与分阶段建设制度对标IDC能力域设计统一量化打分量表，明确年度全域测评流程与短板整改闭环，测评结果纳入集团大模型专项绩效考核，并依据TechScape编制融合平台、标注工具、数据集加工与大模型分阶段建设目录，规范立项审批；数据与人工智能资产分级风险管控细则区分涉密泄露、标注失真、模型数据污染与违规交易四类风险，配套密态融合审核、标注质量校验与流通全程溯源等防控机制，明确L3及以上单位方可开展标准化数据集加工与大模型微调，L4及以上单位方可部署隐私计算开展密态融合与训练，一级涉密数据仅允许密态融合、禁止出域标注与训练。</w:t>
      </w:r>
    </w:p>
    <w:p w14:paraId="5A74BD91" w14:textId="72E76822" w:rsidR="007C66B3" w:rsidRPr="00490265" w:rsidRDefault="007C66B3" w:rsidP="00801CA3">
      <w:pPr>
        <w:spacing w:before="120" w:after="120" w:line="288" w:lineRule="auto"/>
        <w:contextualSpacing/>
        <w:jc w:val="both"/>
        <w:rPr>
          <w:rFonts w:ascii="宋体" w:eastAsia="宋体" w:hAnsi="宋体" w:hint="eastAsia"/>
          <w:b/>
          <w:bCs/>
          <w:sz w:val="21"/>
          <w:szCs w:val="21"/>
        </w:rPr>
      </w:pPr>
      <w:r w:rsidRPr="00490265">
        <w:rPr>
          <w:rFonts w:ascii="宋体" w:eastAsia="宋体" w:hAnsi="宋体"/>
          <w:b/>
          <w:bCs/>
          <w:sz w:val="21"/>
          <w:szCs w:val="21"/>
        </w:rPr>
        <w:t>4.3.2 标准规范层</w:t>
      </w:r>
    </w:p>
    <w:p w14:paraId="4B9957F7" w14:textId="77777777" w:rsidR="007C66B3" w:rsidRPr="00801CA3" w:rsidRDefault="007C66B3" w:rsidP="00490265">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标准规范层统筹制定全产业链统一标准，涵盖分类编码、数据元口径、数据格式、交换接口、质量评价与分级分类六大基础标准，统一上中下游的数据术语、指标口径与编码规则，实现一次定义、全域通用。结合集团大模型专项，配套四类专项标准，基础融合标</w:t>
      </w:r>
      <w:r w:rsidRPr="00801CA3">
        <w:rPr>
          <w:rFonts w:ascii="宋体" w:eastAsia="宋体" w:hAnsi="宋体"/>
          <w:sz w:val="21"/>
          <w:szCs w:val="21"/>
        </w:rPr>
        <w:lastRenderedPageBreak/>
        <w:t>准面向L2及以上单位强制落地，涵盖多源数据融合接入与清洗归一化规范；多模态数据处理与标注标准面向L3及以上单位，涵盖勘探地震影像、测井曲线、炼化工艺文本与管网时序数据采集标注规范；数据集全生命周期标准面向L3及以上单位，涵盖分层分级、样本均衡、脱敏封装、版本管理与入库验收；大模型与智能体配套标准面向L4及以上单位，涵盖密态融合接口、训练输入数据集与资产估值交易标准。L1至L2单位仅落地基础标准。</w:t>
      </w:r>
    </w:p>
    <w:p w14:paraId="5C2450EB" w14:textId="4C931A38" w:rsidR="007C66B3" w:rsidRPr="00490265" w:rsidRDefault="007C66B3" w:rsidP="00801CA3">
      <w:pPr>
        <w:spacing w:before="120" w:after="120" w:line="288" w:lineRule="auto"/>
        <w:contextualSpacing/>
        <w:jc w:val="both"/>
        <w:rPr>
          <w:rFonts w:ascii="宋体" w:eastAsia="宋体" w:hAnsi="宋体" w:hint="eastAsia"/>
          <w:b/>
          <w:bCs/>
          <w:sz w:val="21"/>
          <w:szCs w:val="21"/>
        </w:rPr>
      </w:pPr>
      <w:r w:rsidRPr="00490265">
        <w:rPr>
          <w:rFonts w:ascii="宋体" w:eastAsia="宋体" w:hAnsi="宋体"/>
          <w:b/>
          <w:bCs/>
          <w:sz w:val="21"/>
          <w:szCs w:val="21"/>
        </w:rPr>
        <w:t>4.3.3 技术平台层</w:t>
      </w:r>
    </w:p>
    <w:p w14:paraId="784126C0" w14:textId="77777777" w:rsidR="007C66B3" w:rsidRPr="00801CA3" w:rsidRDefault="007C66B3" w:rsidP="00490265">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技术平台层搭建全域技术支撑架构，核心建设三大平台并配套技术组件，所有技术按TechScape成熟阶段划分落地范围，突破期组件统一纳入集团专项集中投入。全域数据中台与基础融合引擎属成熟应用期技术，全集团强制部署，整合多源异构数据，实现汇聚、清洗、标准化建模与融合调度，是L3达标的硬性底座。数据集成共享与深度融合挖掘平台按阶段推进，成熟应用期覆盖跨系统接口同步与数据按需共享，快速成长期推广异构数据融合引擎、多模态联合调度与可信数据空间。安全、标注、数据集与大模型一体化支撑架构分阶段落地，成熟应用期实现基础脱敏与权限管控全域标配，快速成长期部署隐私计算集群、半自动标注工具与数据集版本管理，技术突破期由L4标杆单位部署全自动标注引擎、密态融合框架与垂直大模型训推平台，概念萌芽期仅开展预研。各阶段技术的落地门槛、核心投入与场景如表1所示。</w:t>
      </w:r>
    </w:p>
    <w:p w14:paraId="0C211A2F" w14:textId="1DECC8F2" w:rsidR="007C66B3" w:rsidRPr="00490265" w:rsidRDefault="007C66B3" w:rsidP="00490265">
      <w:pPr>
        <w:spacing w:before="120" w:after="120" w:line="288" w:lineRule="auto"/>
        <w:contextualSpacing/>
        <w:jc w:val="center"/>
        <w:rPr>
          <w:rFonts w:ascii="宋体" w:eastAsia="宋体" w:hAnsi="宋体" w:hint="eastAsia"/>
          <w:b/>
          <w:bCs/>
          <w:sz w:val="21"/>
          <w:szCs w:val="21"/>
        </w:rPr>
      </w:pPr>
      <w:r w:rsidRPr="00490265">
        <w:rPr>
          <w:rFonts w:ascii="宋体" w:eastAsia="宋体" w:hAnsi="宋体"/>
          <w:b/>
          <w:bCs/>
          <w:sz w:val="21"/>
          <w:szCs w:val="21"/>
        </w:rPr>
        <w:t>表1 数据技术分阶段落地对比</w:t>
      </w:r>
    </w:p>
    <w:tbl>
      <w:tblPr>
        <w:tblW w:w="5000" w:type="pct"/>
        <w:tblCellMar>
          <w:top w:w="15" w:type="dxa"/>
          <w:left w:w="15" w:type="dxa"/>
          <w:bottom w:w="15" w:type="dxa"/>
          <w:right w:w="15" w:type="dxa"/>
        </w:tblCellMar>
        <w:tblLook w:val="04A0" w:firstRow="1" w:lastRow="0" w:firstColumn="1" w:lastColumn="0" w:noHBand="0" w:noVBand="1"/>
      </w:tblPr>
      <w:tblGrid>
        <w:gridCol w:w="1255"/>
        <w:gridCol w:w="1700"/>
        <w:gridCol w:w="3056"/>
        <w:gridCol w:w="2534"/>
      </w:tblGrid>
      <w:tr w:rsidR="00801CA3" w:rsidRPr="00801CA3" w14:paraId="544E5E95" w14:textId="77777777" w:rsidTr="00060D22">
        <w:trPr>
          <w:tblHeader/>
        </w:trPr>
        <w:tc>
          <w:tcPr>
            <w:tcW w:w="7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FB337E2" w14:textId="77777777" w:rsidR="00801CA3" w:rsidRPr="00801CA3" w:rsidRDefault="00801CA3" w:rsidP="00801CA3">
            <w:pPr>
              <w:spacing w:before="120" w:after="120" w:line="288" w:lineRule="auto"/>
              <w:contextualSpacing/>
              <w:jc w:val="both"/>
              <w:rPr>
                <w:rFonts w:ascii="宋体" w:eastAsia="宋体" w:hAnsi="宋体" w:hint="eastAsia"/>
                <w:b/>
                <w:bCs/>
                <w:sz w:val="21"/>
                <w:szCs w:val="21"/>
              </w:rPr>
            </w:pPr>
            <w:r w:rsidRPr="00801CA3">
              <w:rPr>
                <w:rFonts w:ascii="宋体" w:eastAsia="宋体" w:hAnsi="宋体"/>
                <w:b/>
                <w:bCs/>
                <w:sz w:val="21"/>
                <w:szCs w:val="21"/>
              </w:rPr>
              <w:t>阶段</w:t>
            </w:r>
          </w:p>
        </w:tc>
        <w:tc>
          <w:tcPr>
            <w:tcW w:w="995"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97399EA" w14:textId="77777777" w:rsidR="00801CA3" w:rsidRPr="00801CA3" w:rsidRDefault="00801CA3" w:rsidP="00801CA3">
            <w:pPr>
              <w:spacing w:before="120" w:after="120" w:line="288" w:lineRule="auto"/>
              <w:contextualSpacing/>
              <w:jc w:val="both"/>
              <w:rPr>
                <w:rFonts w:ascii="宋体" w:eastAsia="宋体" w:hAnsi="宋体" w:hint="eastAsia"/>
                <w:b/>
                <w:bCs/>
                <w:sz w:val="21"/>
                <w:szCs w:val="21"/>
              </w:rPr>
            </w:pPr>
            <w:r w:rsidRPr="00801CA3">
              <w:rPr>
                <w:rFonts w:ascii="宋体" w:eastAsia="宋体" w:hAnsi="宋体"/>
                <w:b/>
                <w:bCs/>
                <w:sz w:val="21"/>
                <w:szCs w:val="21"/>
              </w:rPr>
              <w:t>落地门槛</w:t>
            </w:r>
          </w:p>
        </w:tc>
        <w:tc>
          <w:tcPr>
            <w:tcW w:w="1788"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2E4846B" w14:textId="77777777" w:rsidR="00801CA3" w:rsidRPr="00801CA3" w:rsidRDefault="00801CA3" w:rsidP="00801CA3">
            <w:pPr>
              <w:spacing w:before="120" w:after="120" w:line="288" w:lineRule="auto"/>
              <w:contextualSpacing/>
              <w:jc w:val="both"/>
              <w:rPr>
                <w:rFonts w:ascii="宋体" w:eastAsia="宋体" w:hAnsi="宋体" w:hint="eastAsia"/>
                <w:b/>
                <w:bCs/>
                <w:sz w:val="21"/>
                <w:szCs w:val="21"/>
              </w:rPr>
            </w:pPr>
            <w:r w:rsidRPr="00801CA3">
              <w:rPr>
                <w:rFonts w:ascii="宋体" w:eastAsia="宋体" w:hAnsi="宋体"/>
                <w:b/>
                <w:bCs/>
                <w:sz w:val="21"/>
                <w:szCs w:val="21"/>
              </w:rPr>
              <w:t>核心投入</w:t>
            </w:r>
          </w:p>
        </w:tc>
        <w:tc>
          <w:tcPr>
            <w:tcW w:w="1483"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3B8D19E" w14:textId="77777777" w:rsidR="00801CA3" w:rsidRPr="00801CA3" w:rsidRDefault="00801CA3" w:rsidP="00801CA3">
            <w:pPr>
              <w:spacing w:before="120" w:after="120" w:line="288" w:lineRule="auto"/>
              <w:contextualSpacing/>
              <w:jc w:val="both"/>
              <w:rPr>
                <w:rFonts w:ascii="宋体" w:eastAsia="宋体" w:hAnsi="宋体" w:hint="eastAsia"/>
                <w:b/>
                <w:bCs/>
                <w:sz w:val="21"/>
                <w:szCs w:val="21"/>
              </w:rPr>
            </w:pPr>
            <w:r w:rsidRPr="00801CA3">
              <w:rPr>
                <w:rFonts w:ascii="宋体" w:eastAsia="宋体" w:hAnsi="宋体"/>
                <w:b/>
                <w:bCs/>
                <w:sz w:val="21"/>
                <w:szCs w:val="21"/>
              </w:rPr>
              <w:t>适用场景</w:t>
            </w:r>
          </w:p>
        </w:tc>
      </w:tr>
      <w:tr w:rsidR="00801CA3" w:rsidRPr="00801CA3" w14:paraId="4A5ED584" w14:textId="77777777" w:rsidTr="00060D22">
        <w:tc>
          <w:tcPr>
            <w:tcW w:w="7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D8F5F35"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成熟应用期</w:t>
            </w:r>
          </w:p>
        </w:tc>
        <w:tc>
          <w:tcPr>
            <w:tcW w:w="995"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0444F5D"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全域强制部署</w:t>
            </w:r>
          </w:p>
        </w:tc>
        <w:tc>
          <w:tcPr>
            <w:tcW w:w="1788"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7A59E31"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数据中台、分类分级、质量校验、主数据管理</w:t>
            </w:r>
          </w:p>
        </w:tc>
        <w:tc>
          <w:tcPr>
            <w:tcW w:w="1483"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7B29DDB"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基础融合底座搭建</w:t>
            </w:r>
          </w:p>
        </w:tc>
      </w:tr>
      <w:tr w:rsidR="00801CA3" w:rsidRPr="00801CA3" w14:paraId="47676428" w14:textId="77777777" w:rsidTr="00060D22">
        <w:tc>
          <w:tcPr>
            <w:tcW w:w="7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3320591"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快速成长期</w:t>
            </w:r>
          </w:p>
        </w:tc>
        <w:tc>
          <w:tcPr>
            <w:tcW w:w="995"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10C52A3"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成熟度 L3 及以上单位试点推广</w:t>
            </w:r>
          </w:p>
        </w:tc>
        <w:tc>
          <w:tcPr>
            <w:tcW w:w="1788"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0CAEB36"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隐私计算、可信数据空间、半自动标注、数据集加工引擎</w:t>
            </w:r>
          </w:p>
        </w:tc>
        <w:tc>
          <w:tcPr>
            <w:tcW w:w="1483"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3AE7912"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密态数据融合、标准化高质量数据集生产</w:t>
            </w:r>
          </w:p>
        </w:tc>
      </w:tr>
      <w:tr w:rsidR="00801CA3" w:rsidRPr="00801CA3" w14:paraId="40560A4B" w14:textId="77777777" w:rsidTr="00060D22">
        <w:tc>
          <w:tcPr>
            <w:tcW w:w="7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47A2A58"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技术突破期</w:t>
            </w:r>
          </w:p>
        </w:tc>
        <w:tc>
          <w:tcPr>
            <w:tcW w:w="995"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DB76DAD"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成熟度 L4 标杆单位专属部署</w:t>
            </w:r>
          </w:p>
        </w:tc>
        <w:tc>
          <w:tcPr>
            <w:tcW w:w="1788"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0F75B6B"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全自动标注、密态大模型训推框架、油气垂直大模型、业务行业智能体、数据资产估值模型</w:t>
            </w:r>
          </w:p>
        </w:tc>
        <w:tc>
          <w:tcPr>
            <w:tcW w:w="1483"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C7ADBFB"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行业大模型微调训练、业务专用智能体开发与数据资产市场化运营</w:t>
            </w:r>
          </w:p>
        </w:tc>
      </w:tr>
      <w:tr w:rsidR="00801CA3" w:rsidRPr="00801CA3" w14:paraId="5644D63A" w14:textId="77777777" w:rsidTr="00060D22">
        <w:tc>
          <w:tcPr>
            <w:tcW w:w="7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FD5BE7B"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概念萌芽期</w:t>
            </w:r>
          </w:p>
        </w:tc>
        <w:tc>
          <w:tcPr>
            <w:tcW w:w="995"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5F9495B"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仅限数智研究院前瞻预研，不规模化采购落地</w:t>
            </w:r>
          </w:p>
        </w:tc>
        <w:tc>
          <w:tcPr>
            <w:tcW w:w="1788"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77FE546"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数据资产通证、量子加密流通、自主进化型通用智能 Agent</w:t>
            </w:r>
          </w:p>
        </w:tc>
        <w:tc>
          <w:tcPr>
            <w:tcW w:w="1483"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08B97A2"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r w:rsidRPr="00801CA3">
              <w:rPr>
                <w:rFonts w:ascii="宋体" w:eastAsia="宋体" w:hAnsi="宋体"/>
                <w:sz w:val="21"/>
                <w:szCs w:val="21"/>
              </w:rPr>
              <w:t>前沿技术理论探索、长期技术储备研究</w:t>
            </w:r>
          </w:p>
        </w:tc>
      </w:tr>
    </w:tbl>
    <w:p w14:paraId="3FEC7326" w14:textId="77777777" w:rsidR="00801CA3" w:rsidRPr="00801CA3" w:rsidRDefault="00801CA3" w:rsidP="00801CA3">
      <w:pPr>
        <w:spacing w:before="120" w:after="120" w:line="288" w:lineRule="auto"/>
        <w:contextualSpacing/>
        <w:jc w:val="both"/>
        <w:rPr>
          <w:rFonts w:ascii="宋体" w:eastAsia="宋体" w:hAnsi="宋体" w:hint="eastAsia"/>
          <w:sz w:val="21"/>
          <w:szCs w:val="21"/>
        </w:rPr>
      </w:pPr>
    </w:p>
    <w:p w14:paraId="2669899D" w14:textId="2F7E44B8" w:rsidR="007C66B3" w:rsidRPr="00801CA3" w:rsidRDefault="007C66B3" w:rsidP="00801CA3">
      <w:pPr>
        <w:spacing w:before="120" w:after="120" w:line="288" w:lineRule="auto"/>
        <w:contextualSpacing/>
        <w:jc w:val="both"/>
        <w:rPr>
          <w:rFonts w:ascii="宋体" w:eastAsia="宋体" w:hAnsi="宋体" w:hint="eastAsia"/>
          <w:b/>
          <w:bCs/>
          <w:sz w:val="21"/>
          <w:szCs w:val="21"/>
        </w:rPr>
      </w:pPr>
      <w:r w:rsidRPr="00801CA3">
        <w:rPr>
          <w:rFonts w:ascii="宋体" w:eastAsia="宋体" w:hAnsi="宋体"/>
          <w:b/>
          <w:bCs/>
          <w:sz w:val="21"/>
          <w:szCs w:val="21"/>
        </w:rPr>
        <w:t>4.3.4 数据管理层</w:t>
      </w:r>
    </w:p>
    <w:p w14:paraId="39D10BF3" w14:textId="77777777" w:rsidR="007C66B3" w:rsidRPr="00801CA3" w:rsidRDefault="007C66B3" w:rsidP="00801CA3">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数据管理层实施全生命周期治理，围绕采集、清洗、存储、共享、应用、归档与销毁七大环节，建立常态化质量校验与问题整改机制，按三级分级分类规则管控访问权限，规范归档与销毁流程。结合大模型专项新增两项管控，大数据融合处理管控明确多源异构数据融合接入、跨板块协同调度与密态融合审核流程，仅L3及以上单位可启用深度多模态融合能力，一级涉密数据融合须经隐私计算安全审核；数据集管控在七大环节后新增智能标</w:t>
      </w:r>
      <w:r w:rsidRPr="00801CA3">
        <w:rPr>
          <w:rFonts w:ascii="宋体" w:eastAsia="宋体" w:hAnsi="宋体"/>
          <w:sz w:val="21"/>
          <w:szCs w:val="21"/>
        </w:rPr>
        <w:lastRenderedPageBreak/>
        <w:t>注、封装校验、分级入库、训练供给与退役归档流程，L1至L2单位仅可开展基础数据简单标注。同时建立成熟度动态迭代与专项联动机制，依据年度测评调整算力配额、标注权限、数据集生产资质与训练数据调用边界，形成测评、整改、升级、供给、迭代的完整闭环。</w:t>
      </w:r>
    </w:p>
    <w:p w14:paraId="3AF68B94" w14:textId="21A2A3FF" w:rsidR="007C66B3" w:rsidRPr="00801CA3" w:rsidRDefault="007C66B3" w:rsidP="00801CA3">
      <w:pPr>
        <w:spacing w:before="120" w:after="120" w:line="288" w:lineRule="auto"/>
        <w:contextualSpacing/>
        <w:jc w:val="both"/>
        <w:rPr>
          <w:rFonts w:ascii="宋体" w:eastAsia="宋体" w:hAnsi="宋体" w:hint="eastAsia"/>
          <w:b/>
          <w:bCs/>
          <w:sz w:val="21"/>
          <w:szCs w:val="21"/>
        </w:rPr>
      </w:pPr>
      <w:r w:rsidRPr="00801CA3">
        <w:rPr>
          <w:rFonts w:ascii="宋体" w:eastAsia="宋体" w:hAnsi="宋体"/>
          <w:b/>
          <w:bCs/>
          <w:sz w:val="21"/>
          <w:szCs w:val="21"/>
        </w:rPr>
        <w:t>4.3.5 应用服务层</w:t>
      </w:r>
    </w:p>
    <w:p w14:paraId="1F5592D2" w14:textId="77777777" w:rsidR="007C66B3" w:rsidRPr="00801CA3" w:rsidRDefault="007C66B3" w:rsidP="00801CA3">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应用服务层依托治理融合加工后的高质量数据集，分层落地基础分析、深度挖掘、大模型推理与智能体应用。依据五级成熟度分级开放权限，L1至L2单位仅开放基础数据查询、统计报表与简单统计分析，禁止独立开展多模态融合与模型训练；L3单位开放全域基础业务场景、标准化专题挖掘、半自动标注工具与大模型通用微调，数据集可内部跨板块共享；L4单位开放全维度深度融合挖掘、全自动标注引擎、产业链协同数据服务与市场化产品开发，落地勘探解释、炼化优化、管网调度、营销预测专用大模型与业务智能体；L5单位开放跨行业可信数据空间协同、跨集团联合挖掘与数据资产联合运营，探索数据服务市场化输出。</w:t>
      </w:r>
    </w:p>
    <w:p w14:paraId="30EE44E7" w14:textId="77777777" w:rsidR="007C66B3" w:rsidRDefault="007C66B3" w:rsidP="00801CA3">
      <w:pPr>
        <w:spacing w:before="120" w:after="120" w:line="288" w:lineRule="auto"/>
        <w:contextualSpacing/>
        <w:jc w:val="both"/>
        <w:rPr>
          <w:rFonts w:ascii="宋体" w:eastAsia="宋体" w:hAnsi="宋体" w:hint="eastAsia"/>
          <w:sz w:val="21"/>
          <w:szCs w:val="21"/>
        </w:rPr>
      </w:pPr>
    </w:p>
    <w:p w14:paraId="7ED9D6EC" w14:textId="77777777" w:rsidR="00490265" w:rsidRPr="00801CA3" w:rsidRDefault="00490265" w:rsidP="00801CA3">
      <w:pPr>
        <w:spacing w:before="120" w:after="120" w:line="288" w:lineRule="auto"/>
        <w:contextualSpacing/>
        <w:jc w:val="both"/>
        <w:rPr>
          <w:rFonts w:ascii="宋体" w:eastAsia="宋体" w:hAnsi="宋体" w:hint="eastAsia"/>
          <w:sz w:val="21"/>
          <w:szCs w:val="21"/>
        </w:rPr>
      </w:pPr>
    </w:p>
    <w:p w14:paraId="3FD617C0" w14:textId="3C04D795" w:rsidR="007C66B3" w:rsidRPr="00801CA3" w:rsidRDefault="007C66B3" w:rsidP="00801CA3">
      <w:pPr>
        <w:spacing w:before="120" w:after="120" w:line="288" w:lineRule="auto"/>
        <w:contextualSpacing/>
        <w:jc w:val="both"/>
        <w:rPr>
          <w:rFonts w:ascii="宋体" w:eastAsia="宋体" w:hAnsi="宋体" w:hint="eastAsia"/>
          <w:b/>
          <w:bCs/>
          <w:sz w:val="21"/>
          <w:szCs w:val="21"/>
        </w:rPr>
      </w:pPr>
      <w:r w:rsidRPr="00801CA3">
        <w:rPr>
          <w:rFonts w:ascii="宋体" w:eastAsia="宋体" w:hAnsi="宋体"/>
          <w:b/>
          <w:bCs/>
          <w:sz w:val="21"/>
          <w:szCs w:val="21"/>
        </w:rPr>
        <w:t>4.4 分级分类治理模式</w:t>
      </w:r>
    </w:p>
    <w:p w14:paraId="135A05AE" w14:textId="77777777" w:rsidR="007C66B3" w:rsidRPr="00801CA3" w:rsidRDefault="007C66B3" w:rsidP="00801CA3">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为进一步适配油气行业涉密、多链条、多主体特性，本文从产业链环节、数据属性、治理主体三维设计分级分类治理模式，叠加成熟度分级管控与专项数据供给规则，实现分类管数据、分级管主体、分阶段建能力、统一归口支撑大模型迭代。</w:t>
      </w:r>
    </w:p>
    <w:p w14:paraId="7F98B162" w14:textId="77777777" w:rsidR="007C66B3" w:rsidRPr="00801CA3" w:rsidRDefault="007C66B3" w:rsidP="00801CA3">
      <w:pPr>
        <w:spacing w:before="120" w:after="120" w:line="288" w:lineRule="auto"/>
        <w:contextualSpacing/>
        <w:jc w:val="both"/>
        <w:rPr>
          <w:rFonts w:ascii="宋体" w:eastAsia="宋体" w:hAnsi="宋体" w:hint="eastAsia"/>
          <w:sz w:val="21"/>
          <w:szCs w:val="21"/>
        </w:rPr>
      </w:pPr>
    </w:p>
    <w:p w14:paraId="1FDA0041" w14:textId="5F3B73C3" w:rsidR="007C66B3" w:rsidRPr="00801CA3" w:rsidRDefault="007C66B3" w:rsidP="00801CA3">
      <w:pPr>
        <w:spacing w:before="120" w:after="120" w:line="288" w:lineRule="auto"/>
        <w:contextualSpacing/>
        <w:jc w:val="both"/>
        <w:rPr>
          <w:rFonts w:ascii="宋体" w:eastAsia="宋体" w:hAnsi="宋体" w:hint="eastAsia"/>
          <w:b/>
          <w:bCs/>
          <w:sz w:val="21"/>
          <w:szCs w:val="21"/>
        </w:rPr>
      </w:pPr>
      <w:r w:rsidRPr="00801CA3">
        <w:rPr>
          <w:rFonts w:ascii="宋体" w:eastAsia="宋体" w:hAnsi="宋体"/>
          <w:b/>
          <w:bCs/>
          <w:sz w:val="21"/>
          <w:szCs w:val="21"/>
        </w:rPr>
        <w:t>4.4.1 按产业链环节分类治理</w:t>
      </w:r>
    </w:p>
    <w:p w14:paraId="094876A3" w14:textId="77777777" w:rsidR="007C66B3" w:rsidRPr="00801CA3" w:rsidRDefault="007C66B3" w:rsidP="00801CA3">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上游勘探开发侧重地质、地震、测井多模态涉密数据管控与高精度融合，加工勘探图像与波形数据集，配套勘探解释智能体与微调数据供给；中游炼化储运侧重工艺时序、管网时空与物流数据实时融合，搭建炼化工艺优化与管网风险预警数据集，支撑炼化智能调度与管网智能体开发；下游销售服务侧重营销、客户与市场文本数据融合，构建市场预测与客户运营数据集，支撑营销分析大模型与客户服务智能体。各环节建设进度统一纳入成熟度测评能力域打分，成果全部接入集团大模型统一数据供给池。</w:t>
      </w:r>
    </w:p>
    <w:p w14:paraId="3BFC0775" w14:textId="77777777" w:rsidR="007C66B3" w:rsidRPr="00801CA3" w:rsidRDefault="007C66B3" w:rsidP="00801CA3">
      <w:pPr>
        <w:spacing w:before="120" w:after="120" w:line="288" w:lineRule="auto"/>
        <w:contextualSpacing/>
        <w:jc w:val="both"/>
        <w:rPr>
          <w:rFonts w:ascii="宋体" w:eastAsia="宋体" w:hAnsi="宋体" w:hint="eastAsia"/>
          <w:sz w:val="21"/>
          <w:szCs w:val="21"/>
        </w:rPr>
      </w:pPr>
    </w:p>
    <w:p w14:paraId="4EB6EED7" w14:textId="54CF6BFF" w:rsidR="007C66B3" w:rsidRPr="00801CA3" w:rsidRDefault="007C66B3" w:rsidP="00801CA3">
      <w:pPr>
        <w:spacing w:before="120" w:after="120" w:line="288" w:lineRule="auto"/>
        <w:contextualSpacing/>
        <w:jc w:val="both"/>
        <w:rPr>
          <w:rFonts w:ascii="宋体" w:eastAsia="宋体" w:hAnsi="宋体" w:hint="eastAsia"/>
          <w:b/>
          <w:bCs/>
          <w:sz w:val="21"/>
          <w:szCs w:val="21"/>
        </w:rPr>
      </w:pPr>
      <w:r w:rsidRPr="00801CA3">
        <w:rPr>
          <w:rFonts w:ascii="宋体" w:eastAsia="宋体" w:hAnsi="宋体"/>
          <w:b/>
          <w:bCs/>
          <w:sz w:val="21"/>
          <w:szCs w:val="21"/>
        </w:rPr>
        <w:t>4.4.2 按数据属性分级管控</w:t>
      </w:r>
    </w:p>
    <w:p w14:paraId="5AF5980E" w14:textId="77777777" w:rsidR="007C66B3" w:rsidRPr="00801CA3" w:rsidRDefault="007C66B3" w:rsidP="00801CA3">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将油气数据划分为三级实施差异化管控。一级涉密核心数据包括油气储量、地质构造、管网布局与核心调度数据，实行封闭管控，仅允许密态融合，原始数据不得出域标注与明文训练，密态融合与训练权限仅对L3及以上单位开放；二级内部经营数据包括生产运行、库存与经营管理数据，脱敏后可开展跨板块融合与批量标注，有限供给大模型微调，相关权限面向全部L3及以上单位；三级行业公开数据包括行业政策、市场行情与通用技术数据，无融合、标注与流通门槛，可自由加工数据集、对外共享与市场化交易，全层级单位均可开展深度挖掘与产品开发。</w:t>
      </w:r>
    </w:p>
    <w:p w14:paraId="1AD724C9" w14:textId="77777777" w:rsidR="007C66B3" w:rsidRPr="00801CA3" w:rsidRDefault="007C66B3" w:rsidP="00801CA3">
      <w:pPr>
        <w:spacing w:before="120" w:after="120" w:line="288" w:lineRule="auto"/>
        <w:contextualSpacing/>
        <w:jc w:val="both"/>
        <w:rPr>
          <w:rFonts w:ascii="宋体" w:eastAsia="宋体" w:hAnsi="宋体" w:hint="eastAsia"/>
          <w:sz w:val="21"/>
          <w:szCs w:val="21"/>
        </w:rPr>
      </w:pPr>
    </w:p>
    <w:p w14:paraId="4AAAE260" w14:textId="22894318" w:rsidR="007C66B3" w:rsidRPr="00801CA3" w:rsidRDefault="007C66B3" w:rsidP="00801CA3">
      <w:pPr>
        <w:spacing w:before="120" w:after="120" w:line="288" w:lineRule="auto"/>
        <w:contextualSpacing/>
        <w:jc w:val="both"/>
        <w:rPr>
          <w:rFonts w:ascii="宋体" w:eastAsia="宋体" w:hAnsi="宋体" w:hint="eastAsia"/>
          <w:b/>
          <w:bCs/>
          <w:sz w:val="21"/>
          <w:szCs w:val="21"/>
        </w:rPr>
      </w:pPr>
      <w:r w:rsidRPr="00801CA3">
        <w:rPr>
          <w:rFonts w:ascii="宋体" w:eastAsia="宋体" w:hAnsi="宋体"/>
          <w:b/>
          <w:bCs/>
          <w:sz w:val="21"/>
          <w:szCs w:val="21"/>
        </w:rPr>
        <w:t>4.4.3 按治理主体三级联动</w:t>
      </w:r>
    </w:p>
    <w:p w14:paraId="18BB4EED" w14:textId="77777777" w:rsidR="007C66B3" w:rsidRPr="00801CA3" w:rsidRDefault="007C66B3" w:rsidP="00801CA3">
      <w:pPr>
        <w:spacing w:before="120" w:after="120" w:line="288" w:lineRule="auto"/>
        <w:ind w:firstLineChars="200" w:firstLine="420"/>
        <w:contextualSpacing/>
        <w:jc w:val="both"/>
        <w:rPr>
          <w:rFonts w:ascii="宋体" w:eastAsia="宋体" w:hAnsi="宋体" w:hint="eastAsia"/>
          <w:sz w:val="21"/>
          <w:szCs w:val="21"/>
        </w:rPr>
      </w:pPr>
      <w:r w:rsidRPr="00801CA3">
        <w:rPr>
          <w:rFonts w:ascii="宋体" w:eastAsia="宋体" w:hAnsi="宋体"/>
          <w:sz w:val="21"/>
          <w:szCs w:val="21"/>
        </w:rPr>
        <w:t>建立集团总部、专业子公司与基层业务部门三级治理权责架构。集团总部统筹顶层制度、成熟度测评、统一标准与专项规划，负责算力与专项资金分配；子公司负责本板块融合平台落地、标注实施与数据集生产，向集团专项统一输送合规训练数据；业务部门负责原始数据采集、标签定义、标注校验与场景需求提报。考核层面，集团将子公司成熟度提</w:t>
      </w:r>
      <w:r w:rsidRPr="00801CA3">
        <w:rPr>
          <w:rFonts w:ascii="宋体" w:eastAsia="宋体" w:hAnsi="宋体"/>
          <w:sz w:val="21"/>
          <w:szCs w:val="21"/>
        </w:rPr>
        <w:lastRenderedPageBreak/>
        <w:t>升幅度、融合平台覆盖率、数据集产出量与专项数据供给完成率纳入数字化绩效考核，成熟度达到L4及以上且数据集供给超额完成的单位，优先分配全自动标注、密态融合等专项资金与算力。</w:t>
      </w:r>
    </w:p>
    <w:p w14:paraId="6CDF2B6F" w14:textId="77777777" w:rsidR="00AA6420" w:rsidRPr="002946A1" w:rsidRDefault="00AA6420" w:rsidP="00AA6420">
      <w:pPr>
        <w:spacing w:before="120" w:after="120" w:line="288" w:lineRule="auto"/>
        <w:contextualSpacing/>
        <w:rPr>
          <w:rFonts w:ascii="宋体" w:eastAsia="宋体" w:hAnsi="宋体" w:hint="eastAsia"/>
          <w:sz w:val="24"/>
        </w:rPr>
      </w:pPr>
    </w:p>
    <w:p w14:paraId="76635BE6" w14:textId="77777777" w:rsidR="00AA6420" w:rsidRPr="002946A1" w:rsidRDefault="00AA6420" w:rsidP="00AA6420">
      <w:pPr>
        <w:spacing w:before="120" w:after="120" w:line="288" w:lineRule="auto"/>
        <w:contextualSpacing/>
        <w:rPr>
          <w:rFonts w:ascii="宋体" w:eastAsia="宋体" w:hAnsi="宋体" w:hint="eastAsia"/>
          <w:sz w:val="24"/>
        </w:rPr>
      </w:pPr>
    </w:p>
    <w:p w14:paraId="3DE22694" w14:textId="0D480B3E" w:rsidR="00B46A1E" w:rsidRPr="002946A1" w:rsidRDefault="00000000" w:rsidP="002946A1">
      <w:pPr>
        <w:spacing w:before="320" w:after="120" w:line="288" w:lineRule="auto"/>
        <w:contextualSpacing/>
        <w:outlineLvl w:val="1"/>
        <w:rPr>
          <w:rFonts w:ascii="黑体" w:eastAsia="黑体" w:hAnsi="黑体" w:hint="eastAsia"/>
          <w:bCs/>
          <w:sz w:val="21"/>
          <w:szCs w:val="21"/>
        </w:rPr>
      </w:pPr>
      <w:bookmarkStart w:id="5" w:name="heading_51"/>
      <w:r w:rsidRPr="002946A1">
        <w:rPr>
          <w:rFonts w:ascii="黑体" w:eastAsia="黑体" w:hAnsi="黑体" w:cs="Arial" w:hint="eastAsia"/>
          <w:bCs/>
          <w:sz w:val="21"/>
          <w:szCs w:val="21"/>
        </w:rPr>
        <w:t>5 油气全产业链数据闭环流通机制设计</w:t>
      </w:r>
      <w:r w:rsidR="00A11BCD" w:rsidRPr="002946A1">
        <w:rPr>
          <w:rFonts w:ascii="黑体" w:eastAsia="黑体" w:hAnsi="黑体" w:cs="Arial" w:hint="eastAsia"/>
          <w:bCs/>
          <w:sz w:val="21"/>
          <w:szCs w:val="21"/>
        </w:rPr>
      </w:r>
      <w:r w:rsidRPr="002946A1">
        <w:rPr>
          <w:rFonts w:ascii="黑体" w:eastAsia="黑体" w:hAnsi="黑体" w:cs="Arial"/>
          <w:bCs/>
          <w:sz w:val="21"/>
          <w:szCs w:val="21"/>
        </w:rPr>
      </w:r>
      <w:bookmarkEnd w:id="5"/>
    </w:p>
    <w:p w14:paraId="3149F377" w14:textId="77777777" w:rsidR="00B90C58" w:rsidRPr="00B90C58" w:rsidRDefault="00B90C58" w:rsidP="00CC5059">
      <w:pPr>
        <w:spacing w:before="120" w:after="120" w:line="288" w:lineRule="auto"/>
        <w:ind w:firstLineChars="200" w:firstLine="420"/>
        <w:contextualSpacing/>
        <w:rPr>
          <w:rFonts w:ascii="宋体" w:eastAsia="宋体" w:hAnsi="宋体" w:cs="Arial" w:hint="eastAsia"/>
          <w:sz w:val="21"/>
          <w:szCs w:val="21"/>
        </w:rPr>
      </w:pPr>
      <w:r w:rsidRPr="00B90C58">
        <w:rPr>
          <w:rFonts w:ascii="宋体" w:eastAsia="宋体" w:hAnsi="宋体" w:cs="Arial"/>
          <w:sz w:val="21"/>
          <w:szCs w:val="21"/>
        </w:rPr>
        <w:t>油气全产业链数据流通机制的构建需在安全合规与市场化双重需求间寻求平衡。本文立足油气数据涉密等级高、安全底线不可突破的行业特性，衔接国家数据局高质量数据集建设要求，匹配集团能源化工大模型数据供给需求，构建确权定级、脱敏合规、共享流通、定价交易、收益分配、监管溯源六位一体闭环流通机制，覆盖原始数据、融合数据集、标注样本与模型服务全类资产，分层匹配L1至L5成熟度主体差异化流通权限，为油气数据向可流通、可交易资产转化提供制度与技术路径。</w:t>
      </w:r>
    </w:p>
    <w:p w14:paraId="18980564" w14:textId="17EC28C0" w:rsidR="00B90C58" w:rsidRPr="005D1076" w:rsidRDefault="00B90C58" w:rsidP="00B90C58">
      <w:pPr>
        <w:spacing w:before="120" w:after="120" w:line="288" w:lineRule="auto"/>
        <w:contextualSpacing/>
        <w:rPr>
          <w:rFonts w:ascii="黑体" w:eastAsia="黑体" w:hAnsi="黑体" w:cs="Arial" w:hint="eastAsia"/>
          <w:sz w:val="21"/>
          <w:szCs w:val="21"/>
        </w:rPr>
      </w:pPr>
      <w:r w:rsidRPr="005D1076">
        <w:rPr>
          <w:rFonts w:ascii="黑体" w:eastAsia="黑体" w:hAnsi="黑体" w:cs="Arial"/>
          <w:sz w:val="21"/>
          <w:szCs w:val="21"/>
        </w:rPr>
        <w:t>5.1 确权定级机制</w:t>
      </w:r>
    </w:p>
    <w:p w14:paraId="1B1388E6" w14:textId="77777777" w:rsidR="00B90C58" w:rsidRPr="00B90C58" w:rsidRDefault="00B90C58" w:rsidP="00CC5059">
      <w:pPr>
        <w:spacing w:before="120" w:after="120" w:line="288" w:lineRule="auto"/>
        <w:ind w:firstLineChars="200" w:firstLine="420"/>
        <w:contextualSpacing/>
        <w:rPr>
          <w:rFonts w:ascii="宋体" w:eastAsia="宋体" w:hAnsi="宋体" w:cs="Arial" w:hint="eastAsia"/>
          <w:sz w:val="21"/>
          <w:szCs w:val="21"/>
        </w:rPr>
      </w:pPr>
      <w:r w:rsidRPr="00B90C58">
        <w:rPr>
          <w:rFonts w:ascii="宋体" w:eastAsia="宋体" w:hAnsi="宋体" w:cs="Arial"/>
          <w:sz w:val="21"/>
          <w:szCs w:val="21"/>
        </w:rPr>
        <w:t>确权定级是流通机制的基础前提，也是高质量数据集、大模型训练样本与智能体特征资产纳入台账、参与共享交易的前置条件。本文确立的权属规则为，原始底层数据所有权归数据产生主体，加工后的高质量数据集与特征样本所有权归属集团专项运营主体，使用权可分级授权流转，综合收益由生产、治理、标注、模型研发多方共享。在此基础上，结合三级数据分级分类标准与IDC MaturityScape双成熟度评估完成全域资产定级标注，对原始业务数据划定涉密等级与基础流通权限，对融合专题数据集、标注训练集与大模型特征样本建立二级权属台账，区分各场景数据集资产。同时设置流通主体准入门槛，仅成熟度L3及以上单位可完成完整确权登记并开展跨板块共享，L4及以上主体方可办理数据集与模型资产市场化权属备案、参与场内交易。统一权属定级台账清晰划分资产权属边界与流转范围，破解数据不敢共享、不愿开放、交易无依据的困境，并为大模型项目提供合规可追溯的训练资产底账。</w:t>
      </w:r>
    </w:p>
    <w:p w14:paraId="23A370CF" w14:textId="0D9BDAB2" w:rsidR="00B90C58" w:rsidRPr="005D1076" w:rsidRDefault="00B90C58" w:rsidP="00B90C58">
      <w:pPr>
        <w:spacing w:before="120" w:after="120" w:line="288" w:lineRule="auto"/>
        <w:contextualSpacing/>
        <w:rPr>
          <w:rFonts w:ascii="黑体" w:eastAsia="黑体" w:hAnsi="黑体" w:cs="Arial" w:hint="eastAsia"/>
          <w:sz w:val="21"/>
          <w:szCs w:val="21"/>
        </w:rPr>
      </w:pPr>
      <w:r w:rsidRPr="005D1076">
        <w:rPr>
          <w:rFonts w:ascii="黑体" w:eastAsia="黑体" w:hAnsi="黑体" w:cs="Arial"/>
          <w:sz w:val="21"/>
          <w:szCs w:val="21"/>
        </w:rPr>
        <w:t>5.2 脱敏合规机制</w:t>
      </w:r>
    </w:p>
    <w:p w14:paraId="502B8586" w14:textId="52400EB8" w:rsidR="00B90C58" w:rsidRPr="00B90C58" w:rsidRDefault="00B90C58" w:rsidP="00191E00">
      <w:pPr>
        <w:spacing w:before="120" w:after="120" w:line="288" w:lineRule="auto"/>
        <w:ind w:firstLineChars="200" w:firstLine="420"/>
        <w:contextualSpacing/>
        <w:rPr>
          <w:rFonts w:ascii="宋体" w:eastAsia="宋体" w:hAnsi="宋体" w:cs="Arial" w:hint="eastAsia"/>
          <w:sz w:val="21"/>
          <w:szCs w:val="21"/>
        </w:rPr>
      </w:pPr>
      <w:r w:rsidRPr="00B90C58">
        <w:rPr>
          <w:rFonts w:ascii="宋体" w:eastAsia="宋体" w:hAnsi="宋体" w:cs="Arial"/>
          <w:sz w:val="21"/>
          <w:szCs w:val="21"/>
        </w:rPr>
        <w:t>脱敏是保障涉密数据、行业数据集与大模型训练样本安全流通的核心屏障，技术选型遵循TechScape四阶段划分，基础脱敏工具为成熟应用期全域标配，隐私计算与密态数据集加工引擎属快速成长期技术统一试点推广，密态训推与联合脱敏平台属技术突破期能力纳入专项攻关。针对三级数据设计差异化处理规则，一级涉密核心数据包括储量、地质构造、管网布局与核心调度数据，禁止原始数据跨主体明文流转，依托隐私计算实现密态融合，构建可用不可见隔离环境，涉密勘探数据集与测井样本全程不出域，仅限本地密态供给大模型微调；二级内部经营数据统一执行字段脱敏、关键字脱密、样本匿名化与噪声扰动，经专项合规审核生成脱敏数据集，在L3及以上单位间流转用于业务分析与大模型常规训练；三级行业公开数据简化审核，可直接开展深度融合与全量标注，面向全层级单位开放共享并支持市场化产品开发。同时建立双维度前置审核，流通审核区分对内共享、产业链协同与市场化交易设置差异化审批，训练数据审核要求供给大模型的数据集完成脱敏脱密、风险校验与权属复核并留存记录，从源头杜绝涉密数据违规外流。</w:t>
      </w:r>
    </w:p>
    <w:p w14:paraId="2629B59D" w14:textId="37639FA2" w:rsidR="00B90C58" w:rsidRPr="005D1076" w:rsidRDefault="00B90C58" w:rsidP="00B90C58">
      <w:pPr>
        <w:spacing w:before="120" w:after="120" w:line="288" w:lineRule="auto"/>
        <w:contextualSpacing/>
        <w:rPr>
          <w:rFonts w:ascii="黑体" w:eastAsia="黑体" w:hAnsi="黑体" w:cs="Arial" w:hint="eastAsia"/>
          <w:sz w:val="21"/>
          <w:szCs w:val="21"/>
        </w:rPr>
      </w:pPr>
      <w:r w:rsidRPr="005D1076">
        <w:rPr>
          <w:rFonts w:ascii="黑体" w:eastAsia="黑体" w:hAnsi="黑体" w:cs="Arial"/>
          <w:sz w:val="21"/>
          <w:szCs w:val="21"/>
        </w:rPr>
        <w:t>5.3 内外流通共享机制</w:t>
      </w:r>
    </w:p>
    <w:p w14:paraId="29290D0C" w14:textId="77777777" w:rsidR="00B90C58" w:rsidRPr="00B90C58" w:rsidRDefault="00B90C58" w:rsidP="00191E00">
      <w:pPr>
        <w:spacing w:before="120" w:after="120" w:line="288" w:lineRule="auto"/>
        <w:ind w:firstLineChars="200" w:firstLine="420"/>
        <w:contextualSpacing/>
        <w:rPr>
          <w:rFonts w:ascii="宋体" w:eastAsia="宋体" w:hAnsi="宋体" w:cs="Arial" w:hint="eastAsia"/>
          <w:sz w:val="21"/>
          <w:szCs w:val="21"/>
        </w:rPr>
      </w:pPr>
      <w:r w:rsidRPr="00B90C58">
        <w:rPr>
          <w:rFonts w:ascii="宋体" w:eastAsia="宋体" w:hAnsi="宋体" w:cs="Arial"/>
          <w:sz w:val="21"/>
          <w:szCs w:val="21"/>
        </w:rPr>
        <w:t>内外流通共享是数据、标准化数据集与模型服务流转的主渠道，本文构建集团内部、产业链上下游、行业公共三层递进共享架构，每层按成熟度设置差异化准入权限，同步承载业务数据流转与大模型训练数据集定向供给。集团内部层面面向L2及以上单位，依托数据中台与融合调度引擎搭建分级授权、自动按需共享通道，L3及以上单位开放数据集定向</w:t>
      </w:r>
      <w:r w:rsidRPr="00B90C58">
        <w:rPr>
          <w:rFonts w:ascii="宋体" w:eastAsia="宋体" w:hAnsi="宋体" w:cs="Arial"/>
          <w:sz w:val="21"/>
          <w:szCs w:val="21"/>
        </w:rPr>
        <w:lastRenderedPageBreak/>
        <w:t>推送通道，实现各板块数据集自动同步至大模型统一供给池，L1至L2单位仅开放基础数据查询权限。产业链层面仅面向L3及以上主体，搭建炼化、储运与销售企业专属可信数据空间通道，仅脱敏二级、三级数据可跨企业流转，支撑产销调度、库存匹配与物流优化协同，允许合作企业密态共享通用训练样本联合开发细分场景智能体，一级涉密数据严禁进入外部通道。行业层面由L4及以上标杆单位主导，筛选脱敏三级数据、通用数据集与开源模型面向行业协会、科研院所与中小企业开放，提供轻量化大模型接口与数据集样本包支撑联合建模。三层架构由内向外交替拓展，形成数据、数据集与模型服务一体化流转通道。</w:t>
      </w:r>
    </w:p>
    <w:p w14:paraId="6ACB8824" w14:textId="669B58D2" w:rsidR="00B90C58" w:rsidRPr="005D1076" w:rsidRDefault="00B90C58" w:rsidP="00B90C58">
      <w:pPr>
        <w:spacing w:before="120" w:after="120" w:line="288" w:lineRule="auto"/>
        <w:contextualSpacing/>
        <w:rPr>
          <w:rFonts w:ascii="黑体" w:eastAsia="黑体" w:hAnsi="黑体" w:cs="Arial" w:hint="eastAsia"/>
          <w:sz w:val="21"/>
          <w:szCs w:val="21"/>
        </w:rPr>
      </w:pPr>
      <w:r w:rsidRPr="005D1076">
        <w:rPr>
          <w:rFonts w:ascii="黑体" w:eastAsia="黑体" w:hAnsi="黑体" w:cs="Arial"/>
          <w:sz w:val="21"/>
          <w:szCs w:val="21"/>
        </w:rPr>
        <w:t>5.4 市场化交易定价机制</w:t>
      </w:r>
    </w:p>
    <w:p w14:paraId="1D32CC9C" w14:textId="77777777" w:rsidR="00B90C58" w:rsidRPr="00B90C58" w:rsidRDefault="00B90C58" w:rsidP="00C40D91">
      <w:pPr>
        <w:spacing w:before="120" w:after="120" w:line="288" w:lineRule="auto"/>
        <w:ind w:firstLineChars="200" w:firstLine="420"/>
        <w:contextualSpacing/>
        <w:rPr>
          <w:rFonts w:ascii="宋体" w:eastAsia="宋体" w:hAnsi="宋体" w:cs="Arial" w:hint="eastAsia"/>
          <w:sz w:val="21"/>
          <w:szCs w:val="21"/>
        </w:rPr>
      </w:pPr>
      <w:r w:rsidRPr="00B90C58">
        <w:rPr>
          <w:rFonts w:ascii="宋体" w:eastAsia="宋体" w:hAnsi="宋体" w:cs="Arial"/>
          <w:sz w:val="21"/>
          <w:szCs w:val="21"/>
        </w:rPr>
        <w:t>市场化交易定价是数据、标注数据集与大模型服务实现价值变现的关键环节，明确仅L4及以上单位具备场内交易资质，依托行业专属数据交易专区开展三类资产合规交易，构建三层多元定价模式。成本基准定价覆盖采集、融合、标注、存储治理与算力投入等刚性成本，作为基础数据集定价底线，基准价按总成本与数据体量比值测算，即$P_0 = \frac{C}{V}$，C为全链路刚性成本，V为可交易数据体量。以某试点项目620TB全域数据为例，采集汇聚成本约每TB 1.2万元，融合加工与质量治理约每TB 0.8万元，多模态标注与数据集封装约每TB 1.5万元，存储算力配套约每TB 0.5万元，合计刚性成本约2480万元，测算综合基准价约每TB 4万元。场景差异化定价依据使用范围、授权期限、调用频次与场景复杂度分级，区分内部无偿共享、产业链有限授权与行业商用售卖三类梯度，勘探涉密数据集因管控成本高实行1.5至2倍溢价，炼化时序数据集实行1.2至1.5倍溢价，三级公开数据按基准价五至八成定价，即$P_1 = P_0 \times (1 + \alpha)$，$\alpha$为溢价系数。增值分成定价面向垂直大模型、智能体与定制化挖掘服务，采用基础服务费加收益分成模式，即$R = F + r \times \Delta E$，F为基础服务费，r为分成比例，$\Delta E$为合作方降本增效收益，分成比例按资产贡献度约定在10%至30%区间。场内交易全程依托区块链存证，推动数据资源与模型资产向可计量、可流通的市场化资产转化。</w:t>
      </w:r>
    </w:p>
    <w:p w14:paraId="7489E921" w14:textId="58E37B39" w:rsidR="00B90C58" w:rsidRPr="005D1076" w:rsidRDefault="00B90C58" w:rsidP="00B90C58">
      <w:pPr>
        <w:spacing w:before="120" w:after="120" w:line="288" w:lineRule="auto"/>
        <w:contextualSpacing/>
        <w:rPr>
          <w:rFonts w:ascii="黑体" w:eastAsia="黑体" w:hAnsi="黑体" w:cs="Arial" w:hint="eastAsia"/>
          <w:sz w:val="21"/>
          <w:szCs w:val="21"/>
        </w:rPr>
      </w:pPr>
      <w:r w:rsidRPr="005D1076">
        <w:rPr>
          <w:rFonts w:ascii="黑体" w:eastAsia="黑体" w:hAnsi="黑体" w:cs="Arial"/>
          <w:sz w:val="21"/>
          <w:szCs w:val="21"/>
        </w:rPr>
        <w:t>5.5 收益分配机制</w:t>
      </w:r>
    </w:p>
    <w:p w14:paraId="69C17FF6" w14:textId="77777777" w:rsidR="00B90C58" w:rsidRPr="00B90C58" w:rsidRDefault="00B90C58" w:rsidP="005D1076">
      <w:pPr>
        <w:spacing w:before="120" w:after="120" w:line="288" w:lineRule="auto"/>
        <w:ind w:firstLineChars="200" w:firstLine="420"/>
        <w:contextualSpacing/>
        <w:rPr>
          <w:rFonts w:ascii="宋体" w:eastAsia="宋体" w:hAnsi="宋体" w:cs="Arial" w:hint="eastAsia"/>
          <w:sz w:val="21"/>
          <w:szCs w:val="21"/>
        </w:rPr>
      </w:pPr>
      <w:r w:rsidRPr="00B90C58">
        <w:rPr>
          <w:rFonts w:ascii="宋体" w:eastAsia="宋体" w:hAnsi="宋体" w:cs="Arial"/>
          <w:sz w:val="21"/>
          <w:szCs w:val="21"/>
        </w:rPr>
        <w:t>收益分配是调动生产、治理、标注、模型研发与平台运营多方主体参与流通的核心制度保障，遵循谁生产、谁治理、谁加工、谁受益原则，区分公益普惠与市场化交易两类场景设计差异化规则。行业普惠场景由集团统筹数字化专项激励资金，依据各子公司融合平台建设成效、数据集产出量与训练样本供给数量进行年度奖励，纳入成熟度考核加分项。市场化场景按主体拆分收益，生产方享有基础分成覆盖采集运维成本，治理融合方享有清洗、融合与质量校验收益，标注运营方享有多模态标注与样本供给核心收益，模型研发方享有训推、智能体定制与接口服务增值收益，平台运营方提取少量服务费用于可信数据空间持续迭代。同时兼顾行业公共属性，基础公益性数据集实行低价普惠交易，涉密衍生数据集与核心智能体服务适度提高门槛与分成比例，在保障公共利益前提下激发全产业链参与流通的内生动力。</w:t>
      </w:r>
    </w:p>
    <w:p w14:paraId="04C1151E" w14:textId="3123387D" w:rsidR="00B90C58" w:rsidRPr="005D1076" w:rsidRDefault="00B90C58" w:rsidP="00B90C58">
      <w:pPr>
        <w:spacing w:before="120" w:after="120" w:line="288" w:lineRule="auto"/>
        <w:contextualSpacing/>
        <w:rPr>
          <w:rFonts w:ascii="黑体" w:eastAsia="黑体" w:hAnsi="黑体" w:cs="Arial" w:hint="eastAsia"/>
          <w:sz w:val="21"/>
          <w:szCs w:val="21"/>
        </w:rPr>
      </w:pPr>
      <w:r w:rsidRPr="005D1076">
        <w:rPr>
          <w:rFonts w:ascii="黑体" w:eastAsia="黑体" w:hAnsi="黑体" w:cs="Arial"/>
          <w:sz w:val="21"/>
          <w:szCs w:val="21"/>
        </w:rPr>
        <w:t>5.6 流程监管溯源机制</w:t>
      </w:r>
    </w:p>
    <w:p w14:paraId="7E53C296" w14:textId="77777777" w:rsidR="00B90C58" w:rsidRPr="00B90C58" w:rsidRDefault="00B90C58" w:rsidP="00C40D91">
      <w:pPr>
        <w:spacing w:before="120" w:after="120" w:line="288" w:lineRule="auto"/>
        <w:ind w:firstLineChars="200" w:firstLine="420"/>
        <w:contextualSpacing/>
        <w:rPr>
          <w:rFonts w:ascii="宋体" w:eastAsia="宋体" w:hAnsi="宋体" w:cs="Arial" w:hint="eastAsia"/>
          <w:sz w:val="21"/>
          <w:szCs w:val="21"/>
        </w:rPr>
      </w:pPr>
      <w:r w:rsidRPr="00B90C58">
        <w:rPr>
          <w:rFonts w:ascii="宋体" w:eastAsia="宋体" w:hAnsi="宋体" w:cs="Arial"/>
          <w:sz w:val="21"/>
          <w:szCs w:val="21"/>
        </w:rPr>
        <w:t>流程监管溯源是数据、数据集、训练样本与智能体服务全程可控可审计的技术支撑，架构分层匹配TechScape成熟阶段，基础日志审计为成熟应用期标配，区块链溯源与数据安全态势平台属快速成长期技术，训练样本调用智能风险预警属技术突破期攻关能力。全资产区块链溯源台账对脱敏、授权、流转、调取、样本加载、场内交易与接口调用全流程上链存证，记录资产类型、涉密等级、使用主体、调用时间与流转目的地，实现一条链覆盖数据与模型资产全生命周期轨迹。分级智能风险预警模型按成熟度与涉密等级设置多层风控阈值，对超范围调取涉密数据集、未授权导出标注样本、外部违规调用大模型、越权</w:t>
      </w:r>
      <w:r w:rsidRPr="00B90C58">
        <w:rPr>
          <w:rFonts w:ascii="宋体" w:eastAsia="宋体" w:hAnsi="宋体" w:cs="Arial"/>
          <w:sz w:val="21"/>
          <w:szCs w:val="21"/>
        </w:rPr>
        <w:lastRenderedPageBreak/>
        <w:t>跨板块流转等行为实时预警，分级推送至合规、数字化与专项管理部门处置。闭环违规追责区分普通数据违规流通、涉密数据集外泄与核心样本非法导出三类情形设置梯度化处罚，同步扣减成熟度测评得分并削减专项预算，实现流通全程可查、可控、可追责。</w:t>
      </w:r>
    </w:p>
    <w:p w14:paraId="7FB6BBE3" w14:textId="18EF22AA" w:rsidR="00B90C58" w:rsidRPr="005D1076" w:rsidRDefault="00B90C58" w:rsidP="00B90C58">
      <w:pPr>
        <w:spacing w:before="120" w:after="120" w:line="288" w:lineRule="auto"/>
        <w:contextualSpacing/>
        <w:rPr>
          <w:rFonts w:ascii="黑体" w:eastAsia="黑体" w:hAnsi="黑体" w:cs="Arial" w:hint="eastAsia"/>
          <w:sz w:val="21"/>
          <w:szCs w:val="21"/>
        </w:rPr>
      </w:pPr>
      <w:r w:rsidRPr="005D1076">
        <w:rPr>
          <w:rFonts w:ascii="黑体" w:eastAsia="黑体" w:hAnsi="黑体" w:cs="Arial"/>
          <w:sz w:val="21"/>
          <w:szCs w:val="21"/>
        </w:rPr>
        <w:t>5.7 流通场景与治理架构匹配</w:t>
      </w:r>
    </w:p>
    <w:p w14:paraId="2052EEE0" w14:textId="77777777" w:rsidR="00B90C58" w:rsidRPr="00B90C58" w:rsidRDefault="00B90C58" w:rsidP="00C40D91">
      <w:pPr>
        <w:spacing w:before="120" w:after="120" w:line="288" w:lineRule="auto"/>
        <w:ind w:firstLineChars="200" w:firstLine="420"/>
        <w:contextualSpacing/>
        <w:rPr>
          <w:rFonts w:ascii="宋体" w:eastAsia="宋体" w:hAnsi="宋体" w:cs="Arial" w:hint="eastAsia"/>
          <w:sz w:val="21"/>
          <w:szCs w:val="21"/>
        </w:rPr>
      </w:pPr>
      <w:r w:rsidRPr="00B90C58">
        <w:rPr>
          <w:rFonts w:ascii="宋体" w:eastAsia="宋体" w:hAnsi="宋体" w:cs="Arial"/>
          <w:sz w:val="21"/>
          <w:szCs w:val="21"/>
        </w:rPr>
        <w:t>在六大子机制协同支撑下，本文设计三大流通场景落地路径，并与五层治理架构形成匹配闭环。内部协同场景覆盖产销运存一体化调度、设备运维与安全环保管控，勘探数据向生产流转、生产数据向调度共享、库存数据向销售同步，依托数据管理层全生命周期治理与应用服务层智能应用实现资源动态调配，对应数据管理与应用服务两层。产业链协同场景打通上中下游企业数据壁垒，实现产能、物流仓储与终端需求数据互联互通，精准匹配供需、降低库存与物流损耗，依托技术平台层可信数据空间实现跨企业密态协同，对应技术平台层与标准规范层。行业增值场景依托脱敏行业数据开发市场分析报告、产能预测模型、物流优化方案与安全风控产品，面向行业企业、科研机构与金融机构提供市场化数据服务，依托顶层制度层交易规则与标准规范层产品标准实现资产化增值，对应顶层制度层与标准规范层。三大场景由内向外交互递进，形成内部增效、产业链协同、行业增值的梯度价值释放格局，实现治理底座与数据流通有机衔接。</w:t>
      </w:r>
    </w:p>
    <w:p w14:paraId="2D868EE0" w14:textId="77777777" w:rsidR="002946A1" w:rsidRPr="004A040E" w:rsidRDefault="002946A1">
      <w:pPr>
        <w:spacing w:before="120" w:after="120" w:line="288" w:lineRule="auto"/>
        <w:contextualSpacing/>
        <w:rPr>
          <w:rFonts w:ascii="宋体" w:eastAsia="宋体" w:hAnsi="宋体" w:cs="Arial" w:hint="eastAsia"/>
          <w:sz w:val="21"/>
          <w:szCs w:val="21"/>
        </w:rPr>
      </w:pPr>
    </w:p>
    <w:p w14:paraId="75DB3E20" w14:textId="77777777" w:rsidR="002946A1" w:rsidRPr="004A040E" w:rsidRDefault="002946A1">
      <w:pPr>
        <w:spacing w:before="120" w:after="120" w:line="288" w:lineRule="auto"/>
        <w:contextualSpacing/>
        <w:rPr>
          <w:rFonts w:ascii="宋体" w:eastAsia="宋体" w:hAnsi="宋体" w:cs="Arial" w:hint="eastAsia"/>
          <w:sz w:val="21"/>
          <w:szCs w:val="21"/>
        </w:rPr>
      </w:pPr>
    </w:p>
    <w:p w14:paraId="4C326CC2" w14:textId="77777777" w:rsidR="00B46A1E" w:rsidRPr="004A040E" w:rsidRDefault="00B46A1E">
      <w:pPr>
        <w:spacing w:before="120" w:after="120" w:line="288" w:lineRule="auto"/>
        <w:contextualSpacing/>
        <w:rPr>
          <w:rFonts w:ascii="宋体" w:eastAsia="宋体" w:hAnsi="宋体" w:hint="eastAsia"/>
          <w:sz w:val="21"/>
          <w:szCs w:val="21"/>
        </w:rPr>
      </w:pPr>
    </w:p>
    <w:p w14:paraId="45833B92" w14:textId="0E3FD315" w:rsidR="00B46A1E" w:rsidRPr="004A040E" w:rsidRDefault="00000000">
      <w:pPr>
        <w:spacing w:before="320" w:after="120" w:line="288" w:lineRule="auto"/>
        <w:contextualSpacing/>
        <w:outlineLvl w:val="1"/>
        <w:rPr>
          <w:rFonts w:ascii="宋体" w:eastAsia="宋体" w:hAnsi="宋体" w:hint="eastAsia"/>
          <w:sz w:val="21"/>
          <w:szCs w:val="21"/>
        </w:rPr>
      </w:pPr>
      <w:bookmarkStart w:id="6" w:name="heading_64"/>
      <w:r w:rsidRPr="004A040E">
        <w:rPr>
          <w:rFonts w:ascii="宋体" w:eastAsia="宋体" w:hAnsi="宋体" w:cs="Arial" w:hint="eastAsia"/>
          <w:b/>
          <w:sz w:val="21"/>
          <w:szCs w:val="21"/>
        </w:rPr>
        <w:t>6</w:t>
      </w:r>
      <w:r w:rsidR="00A11BCD" w:rsidRPr="004A040E">
        <w:rPr>
          <w:rFonts w:ascii="宋体" w:eastAsia="宋体" w:hAnsi="宋体" w:cs="Arial" w:hint="eastAsia"/>
          <w:b/>
          <w:sz w:val="21"/>
          <w:szCs w:val="21"/>
        </w:rPr>
        <w:t xml:space="preserve"> </w:t>
      </w:r>
      <w:r w:rsidRPr="004A040E">
        <w:rPr>
          <w:rFonts w:ascii="宋体" w:eastAsia="宋体" w:hAnsi="宋体" w:cs="Arial"/>
          <w:b/>
          <w:sz w:val="21"/>
          <w:szCs w:val="21"/>
        </w:rPr>
        <w:t>案例实证分析</w:t>
      </w:r>
      <w:bookmarkEnd w:id="6"/>
    </w:p>
    <w:p w14:paraId="3318914E" w14:textId="77777777" w:rsidR="00EE1371" w:rsidRPr="00EE1371" w:rsidRDefault="00EE1371" w:rsidP="00147535">
      <w:pPr>
        <w:spacing w:before="120" w:after="120" w:line="288" w:lineRule="auto"/>
        <w:ind w:firstLineChars="200" w:firstLine="420"/>
        <w:contextualSpacing/>
        <w:jc w:val="both"/>
        <w:rPr>
          <w:rFonts w:ascii="宋体" w:eastAsia="宋体" w:hAnsi="宋体" w:cs="Arial" w:hint="eastAsia"/>
          <w:sz w:val="21"/>
          <w:szCs w:val="21"/>
        </w:rPr>
      </w:pPr>
      <w:r w:rsidRPr="00EE1371">
        <w:rPr>
          <w:rFonts w:ascii="宋体" w:eastAsia="宋体" w:hAnsi="宋体" w:cs="Arial"/>
          <w:sz w:val="21"/>
          <w:szCs w:val="21"/>
        </w:rPr>
        <w:t>为验证五层治理架构与六位一体流通机制的落地成效，选取中石油昆仑数智全产业链试点项目为实证样本，昆仑数智作为集团数字化底座与昆仑大模型运营主体，覆盖勘探、炼化、储运、销售全链条，同时选取四个国家级能源人工智能数据集标杆案例开展分析。</w:t>
      </w:r>
    </w:p>
    <w:p w14:paraId="03C89974" w14:textId="32762A36" w:rsidR="00EE1371" w:rsidRPr="00A92F8E" w:rsidRDefault="00EE1371" w:rsidP="00147535">
      <w:pPr>
        <w:spacing w:before="120" w:after="120" w:line="288" w:lineRule="auto"/>
        <w:contextualSpacing/>
        <w:jc w:val="both"/>
        <w:rPr>
          <w:rFonts w:ascii="宋体" w:eastAsia="宋体" w:hAnsi="宋体" w:cs="Arial" w:hint="eastAsia"/>
          <w:b/>
          <w:bCs/>
          <w:sz w:val="21"/>
          <w:szCs w:val="21"/>
        </w:rPr>
      </w:pPr>
      <w:r w:rsidRPr="00A92F8E">
        <w:rPr>
          <w:rFonts w:ascii="宋体" w:eastAsia="宋体" w:hAnsi="宋体" w:cs="Arial"/>
          <w:b/>
          <w:bCs/>
          <w:sz w:val="21"/>
          <w:szCs w:val="21"/>
        </w:rPr>
        <w:t>6.1 昆仑数智全产业链试点</w:t>
      </w:r>
    </w:p>
    <w:p w14:paraId="41B39975" w14:textId="77777777" w:rsidR="00EE1371" w:rsidRPr="00EE1371" w:rsidRDefault="00EE1371" w:rsidP="00147535">
      <w:pPr>
        <w:spacing w:before="120" w:after="120" w:line="288" w:lineRule="auto"/>
        <w:ind w:firstLineChars="200" w:firstLine="420"/>
        <w:contextualSpacing/>
        <w:jc w:val="both"/>
        <w:rPr>
          <w:rFonts w:ascii="宋体" w:eastAsia="宋体" w:hAnsi="宋体" w:cs="Arial" w:hint="eastAsia"/>
          <w:sz w:val="21"/>
          <w:szCs w:val="21"/>
        </w:rPr>
      </w:pPr>
      <w:r w:rsidRPr="00EE1371">
        <w:rPr>
          <w:rFonts w:ascii="宋体" w:eastAsia="宋体" w:hAnsi="宋体" w:cs="Arial"/>
          <w:sz w:val="21"/>
          <w:szCs w:val="21"/>
        </w:rPr>
        <w:t>试点前，昆仑数智建成集团级全域数据中台，落地主数据管理与分级分类等成熟期技术，储备620TB全域能源化工基础数据，搭建半自动标注工具并初步供给昆仑大模型训练，综合成熟度L2.7。短板在于全产业链统一多模态数据集标准缺失，勘探、炼化、管网数据口径割裂，隐私计算密态融合未规模化，产业链可信数据空间与市场化交易机制空白，三级治理权责与数据集产出考核不完善。依据本文构建的治理框架实施四项优化，标准层落地全产业链统一元数据、交换与质量规范，新增勘探测井、炼化时序、管网多模态数据集73项标注标准；技术平台层部署隐私计算、区块链溯源、标准化数据集加工引擎与半自动标注平台，突破期组件纳入集团大模型专项攻关；流通机制层落地确权定级、脱敏合规、三层共享、多元定价、多方收益、全程溯源六维闭环，开放内部数据集定向供给通道与场内交易资质；组织考核层建立三级治理权责，将成熟度提升、数据集产出与大模型数据供给纳入绩效考核。改造后实现全链条数据融合效率提升60%，建成620TB标准化高质量行业数据集，国家测评质量得分99.8分，稳定支撑昆仑大模型152个业务场景迭代，涉密数据依托隐私计算实现可用不可见密态训练，产出钻井、炼化、管网、市场四类标准化数据集产品，试点综合成熟度由L2.7跃升至L3.8。改造前后关键指标对比如表2所示。</w:t>
      </w:r>
    </w:p>
    <w:p w14:paraId="4DC16FF7" w14:textId="239334FF" w:rsidR="00EE1371" w:rsidRPr="004644E4" w:rsidRDefault="00EE1371" w:rsidP="004644E4">
      <w:pPr>
        <w:spacing w:before="120" w:after="120" w:line="288" w:lineRule="auto"/>
        <w:contextualSpacing/>
        <w:jc w:val="center"/>
        <w:rPr>
          <w:rFonts w:ascii="宋体" w:eastAsia="宋体" w:hAnsi="宋体" w:cs="Arial" w:hint="eastAsia"/>
          <w:b/>
          <w:bCs/>
          <w:sz w:val="21"/>
          <w:szCs w:val="21"/>
        </w:rPr>
      </w:pPr>
      <w:r w:rsidRPr="004644E4">
        <w:rPr>
          <w:rFonts w:ascii="宋体" w:eastAsia="宋体" w:hAnsi="宋体" w:cs="Arial"/>
          <w:b/>
          <w:bCs/>
          <w:sz w:val="21"/>
          <w:szCs w:val="21"/>
        </w:rPr>
        <w:t>表2 昆仑数智试点改造前后对比</w:t>
      </w:r>
    </w:p>
    <w:tbl>
      <w:tblPr>
        <w:tblW w:w="5000" w:type="pct"/>
        <w:tblCellMar>
          <w:top w:w="15" w:type="dxa"/>
          <w:left w:w="15" w:type="dxa"/>
          <w:bottom w:w="15" w:type="dxa"/>
          <w:right w:w="15" w:type="dxa"/>
        </w:tblCellMar>
        <w:tblLook w:val="04A0" w:firstRow="1" w:lastRow="0" w:firstColumn="1" w:lastColumn="0" w:noHBand="0" w:noVBand="1"/>
      </w:tblPr>
      <w:tblGrid>
        <w:gridCol w:w="2020"/>
        <w:gridCol w:w="1962"/>
        <w:gridCol w:w="4563"/>
      </w:tblGrid>
      <w:tr w:rsidR="00A92F8E" w:rsidRPr="00A92F8E" w14:paraId="37E2241E" w14:textId="77777777">
        <w:trPr>
          <w:tblHeader/>
        </w:trPr>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96741B4" w14:textId="77777777" w:rsidR="00A92F8E" w:rsidRPr="00A92F8E" w:rsidRDefault="00A92F8E" w:rsidP="00A92F8E">
            <w:pPr>
              <w:spacing w:before="120" w:after="120" w:line="288" w:lineRule="auto"/>
              <w:contextualSpacing/>
              <w:rPr>
                <w:rFonts w:ascii="宋体" w:eastAsia="宋体" w:hAnsi="宋体" w:cs="Arial" w:hint="eastAsia"/>
                <w:b/>
                <w:bCs/>
                <w:sz w:val="21"/>
                <w:szCs w:val="21"/>
              </w:rPr>
            </w:pPr>
            <w:r w:rsidRPr="00A92F8E">
              <w:rPr>
                <w:rFonts w:ascii="宋体" w:eastAsia="宋体" w:hAnsi="宋体" w:cs="Arial"/>
                <w:b/>
                <w:bCs/>
                <w:sz w:val="21"/>
                <w:szCs w:val="21"/>
              </w:rPr>
              <w:t>指标</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9506810" w14:textId="77777777" w:rsidR="00A92F8E" w:rsidRPr="00A92F8E" w:rsidRDefault="00A92F8E" w:rsidP="00A92F8E">
            <w:pPr>
              <w:spacing w:before="120" w:after="120" w:line="288" w:lineRule="auto"/>
              <w:contextualSpacing/>
              <w:rPr>
                <w:rFonts w:ascii="宋体" w:eastAsia="宋体" w:hAnsi="宋体" w:cs="Arial" w:hint="eastAsia"/>
                <w:b/>
                <w:bCs/>
                <w:sz w:val="21"/>
                <w:szCs w:val="21"/>
              </w:rPr>
            </w:pPr>
            <w:r w:rsidRPr="00A92F8E">
              <w:rPr>
                <w:rFonts w:ascii="宋体" w:eastAsia="宋体" w:hAnsi="宋体" w:cs="Arial"/>
                <w:b/>
                <w:bCs/>
                <w:sz w:val="21"/>
                <w:szCs w:val="21"/>
              </w:rPr>
              <w:t>改造前</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CB50734" w14:textId="77777777" w:rsidR="00A92F8E" w:rsidRPr="00A92F8E" w:rsidRDefault="00A92F8E" w:rsidP="00A92F8E">
            <w:pPr>
              <w:spacing w:before="120" w:after="120" w:line="288" w:lineRule="auto"/>
              <w:contextualSpacing/>
              <w:rPr>
                <w:rFonts w:ascii="宋体" w:eastAsia="宋体" w:hAnsi="宋体" w:cs="Arial" w:hint="eastAsia"/>
                <w:b/>
                <w:bCs/>
                <w:sz w:val="21"/>
                <w:szCs w:val="21"/>
              </w:rPr>
            </w:pPr>
            <w:r w:rsidRPr="00A92F8E">
              <w:rPr>
                <w:rFonts w:ascii="宋体" w:eastAsia="宋体" w:hAnsi="宋体" w:cs="Arial"/>
                <w:b/>
                <w:bCs/>
                <w:sz w:val="21"/>
                <w:szCs w:val="21"/>
              </w:rPr>
              <w:t>改造后</w:t>
            </w:r>
          </w:p>
        </w:tc>
      </w:tr>
      <w:tr w:rsidR="00A92F8E" w:rsidRPr="00A92F8E" w14:paraId="1AB4DCEA" w14:textId="77777777">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9905EA6" w14:textId="6D659AAA"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综合IDC数智化成熟度</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28BF8A5" w14:textId="77777777"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L2.7</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ECEB2F9" w14:textId="77777777"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L3.8</w:t>
            </w:r>
          </w:p>
        </w:tc>
      </w:tr>
      <w:tr w:rsidR="00A92F8E" w:rsidRPr="00A92F8E" w14:paraId="7920F42D" w14:textId="77777777">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78BCA69" w14:textId="77777777"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lastRenderedPageBreak/>
              <w:t>全产业链数据融合流转效率</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8E0E9F9" w14:textId="77777777"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依赖人工线下报表、点对点传输</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77CC868" w14:textId="6DEB4ED0"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整体流转效率提升60%，实现自动化分级共享</w:t>
            </w:r>
          </w:p>
        </w:tc>
      </w:tr>
      <w:tr w:rsidR="00A92F8E" w:rsidRPr="00A92F8E" w14:paraId="2F521B40" w14:textId="77777777">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0445D9C" w14:textId="77777777"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标准化高质量数据集储备</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9C7D581" w14:textId="77777777"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无统一标准化数据集资产</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25699AB" w14:textId="0232142A"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建成620TB行业专用数据集，国家测评质量得分99.8分</w:t>
            </w:r>
          </w:p>
        </w:tc>
      </w:tr>
      <w:tr w:rsidR="00A92F8E" w:rsidRPr="00A92F8E" w14:paraId="6F2457EB" w14:textId="77777777">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BEC2FD4" w14:textId="77777777"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昆仑能源化工大模型数据支撑能力</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EF3C018" w14:textId="77777777"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零散数据初步供给模型训练</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81D17BB" w14:textId="62882492"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稳定支撑152个油气全产业链业务场景持续迭代</w:t>
            </w:r>
          </w:p>
        </w:tc>
      </w:tr>
      <w:tr w:rsidR="00A92F8E" w:rsidRPr="00A92F8E" w14:paraId="3CFBA0C7" w14:textId="77777777">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04DBD4B" w14:textId="77777777"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数据要素流通体系</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163C7E1" w14:textId="77777777"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仅搭建简易内部数据共享通道</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BF7D038" w14:textId="715BB6CD" w:rsidR="00A92F8E" w:rsidRPr="00A92F8E" w:rsidRDefault="00A92F8E" w:rsidP="00A92F8E">
            <w:pPr>
              <w:spacing w:before="120" w:after="120" w:line="288" w:lineRule="auto"/>
              <w:contextualSpacing/>
              <w:rPr>
                <w:rFonts w:ascii="宋体" w:eastAsia="宋体" w:hAnsi="宋体" w:cs="Arial" w:hint="eastAsia"/>
                <w:sz w:val="21"/>
                <w:szCs w:val="21"/>
              </w:rPr>
            </w:pPr>
            <w:r w:rsidRPr="00A92F8E">
              <w:rPr>
                <w:rFonts w:ascii="宋体" w:eastAsia="宋体" w:hAnsi="宋体" w:cs="Arial"/>
                <w:sz w:val="21"/>
                <w:szCs w:val="21"/>
              </w:rPr>
              <w:t>落地确权-脱敏-共享-定价-分润-溯源六维闭环机制，具备数据集场内市场化交易资质</w:t>
            </w:r>
          </w:p>
        </w:tc>
      </w:tr>
    </w:tbl>
    <w:p w14:paraId="1D1E3868" w14:textId="77777777" w:rsidR="00EE1371" w:rsidRPr="00EE1371" w:rsidRDefault="00EE1371" w:rsidP="00EE1371">
      <w:pPr>
        <w:spacing w:before="120" w:after="120" w:line="288" w:lineRule="auto"/>
        <w:contextualSpacing/>
        <w:rPr>
          <w:rFonts w:ascii="宋体" w:eastAsia="宋体" w:hAnsi="宋体" w:cs="Arial" w:hint="eastAsia"/>
          <w:sz w:val="21"/>
          <w:szCs w:val="21"/>
        </w:rPr>
      </w:pPr>
    </w:p>
    <w:p w14:paraId="2B66A60E" w14:textId="044B5D61" w:rsidR="00EE1371" w:rsidRPr="004644E4" w:rsidRDefault="00EE1371" w:rsidP="00147535">
      <w:pPr>
        <w:spacing w:before="120" w:after="120" w:line="288" w:lineRule="auto"/>
        <w:contextualSpacing/>
        <w:jc w:val="both"/>
        <w:rPr>
          <w:rFonts w:ascii="宋体" w:eastAsia="宋体" w:hAnsi="宋体" w:cs="Arial" w:hint="eastAsia"/>
          <w:b/>
          <w:bCs/>
          <w:sz w:val="21"/>
          <w:szCs w:val="21"/>
        </w:rPr>
      </w:pPr>
      <w:r w:rsidRPr="004644E4">
        <w:rPr>
          <w:rFonts w:ascii="宋体" w:eastAsia="宋体" w:hAnsi="宋体" w:cs="Arial"/>
          <w:b/>
          <w:bCs/>
          <w:sz w:val="21"/>
          <w:szCs w:val="21"/>
        </w:rPr>
        <w:t>6.2 测井高质量数据集</w:t>
      </w:r>
    </w:p>
    <w:p w14:paraId="1BFD2A60" w14:textId="77777777" w:rsidR="00EE1371" w:rsidRPr="00EE1371" w:rsidRDefault="00EE1371" w:rsidP="00147535">
      <w:pPr>
        <w:spacing w:before="120" w:after="120" w:line="288" w:lineRule="auto"/>
        <w:ind w:firstLineChars="200" w:firstLine="420"/>
        <w:contextualSpacing/>
        <w:jc w:val="both"/>
        <w:rPr>
          <w:rFonts w:ascii="宋体" w:eastAsia="宋体" w:hAnsi="宋体" w:cs="Arial" w:hint="eastAsia"/>
          <w:sz w:val="21"/>
          <w:szCs w:val="21"/>
        </w:rPr>
      </w:pPr>
      <w:r w:rsidRPr="00EE1371">
        <w:rPr>
          <w:rFonts w:ascii="宋体" w:eastAsia="宋体" w:hAnsi="宋体" w:cs="Arial"/>
          <w:sz w:val="21"/>
          <w:szCs w:val="21"/>
        </w:rPr>
        <w:t>测井数据集是上游勘探标杆。针对测井数据多模态、涉密程度高、无统一标注规范的痛点，统一10万余井次测井数据元标准，搭建自动化清洗与特征提取工具，一级地质涉密数据本地密态融合，二级测井解释数据脱敏封装为专用数据集，内部定向供给勘探大模型，科研机构可申请有限授权。落地后支撑岩性识别、储层划分6类勘探任务，单井解释效率提升10倍，全国六大油田累计应用6000余井次，勘探评价成本大幅下降。</w:t>
      </w:r>
    </w:p>
    <w:p w14:paraId="31A3FEDE" w14:textId="640BD2A0" w:rsidR="00EE1371" w:rsidRPr="004644E4" w:rsidRDefault="00EE1371" w:rsidP="00147535">
      <w:pPr>
        <w:spacing w:before="120" w:after="120" w:line="288" w:lineRule="auto"/>
        <w:contextualSpacing/>
        <w:jc w:val="both"/>
        <w:rPr>
          <w:rFonts w:ascii="宋体" w:eastAsia="宋体" w:hAnsi="宋体" w:cs="Arial" w:hint="eastAsia"/>
          <w:b/>
          <w:bCs/>
          <w:sz w:val="21"/>
          <w:szCs w:val="21"/>
        </w:rPr>
      </w:pPr>
      <w:r w:rsidRPr="004644E4">
        <w:rPr>
          <w:rFonts w:ascii="宋体" w:eastAsia="宋体" w:hAnsi="宋体" w:cs="Arial"/>
          <w:b/>
          <w:bCs/>
          <w:sz w:val="21"/>
          <w:szCs w:val="21"/>
        </w:rPr>
        <w:t>6.3 炼化时序高质量数据集</w:t>
      </w:r>
    </w:p>
    <w:p w14:paraId="7B755B31" w14:textId="77777777" w:rsidR="00EE1371" w:rsidRPr="00EE1371" w:rsidRDefault="00EE1371" w:rsidP="00147535">
      <w:pPr>
        <w:spacing w:before="120" w:after="120" w:line="288" w:lineRule="auto"/>
        <w:ind w:firstLineChars="200" w:firstLine="420"/>
        <w:contextualSpacing/>
        <w:jc w:val="both"/>
        <w:rPr>
          <w:rFonts w:ascii="宋体" w:eastAsia="宋体" w:hAnsi="宋体" w:cs="Arial" w:hint="eastAsia"/>
          <w:sz w:val="21"/>
          <w:szCs w:val="21"/>
        </w:rPr>
      </w:pPr>
      <w:r w:rsidRPr="00EE1371">
        <w:rPr>
          <w:rFonts w:ascii="宋体" w:eastAsia="宋体" w:hAnsi="宋体" w:cs="Arial"/>
          <w:sz w:val="21"/>
          <w:szCs w:val="21"/>
        </w:rPr>
        <w:t>炼化时序数据集是中游炼化标杆。针对炼化装置时序传感数据杂乱、工况预警依赖人工的痛点，融合2.2TB全装置工艺时序数据，建立时序对齐、噪声过滤与工况标注规范，二级经营数据脱敏后依托集团内部共享通道供给炼化时序大模型。落地后实现产品收率预测与设备异常提前预警，工况预测准确率92%，装置故障停机时间下降40%。</w:t>
      </w:r>
    </w:p>
    <w:p w14:paraId="705871B9" w14:textId="72D8966B" w:rsidR="00EE1371" w:rsidRPr="004644E4" w:rsidRDefault="00EE1371" w:rsidP="00147535">
      <w:pPr>
        <w:spacing w:before="120" w:after="120" w:line="288" w:lineRule="auto"/>
        <w:contextualSpacing/>
        <w:jc w:val="both"/>
        <w:rPr>
          <w:rFonts w:ascii="宋体" w:eastAsia="宋体" w:hAnsi="宋体" w:cs="Arial" w:hint="eastAsia"/>
          <w:b/>
          <w:bCs/>
          <w:sz w:val="21"/>
          <w:szCs w:val="21"/>
        </w:rPr>
      </w:pPr>
      <w:r w:rsidRPr="004644E4">
        <w:rPr>
          <w:rFonts w:ascii="宋体" w:eastAsia="宋体" w:hAnsi="宋体" w:cs="Arial"/>
          <w:b/>
          <w:bCs/>
          <w:sz w:val="21"/>
          <w:szCs w:val="21"/>
        </w:rPr>
        <w:t>6.4 天然气管网运行高质量数据集</w:t>
      </w:r>
    </w:p>
    <w:p w14:paraId="0C0FC0A5" w14:textId="77777777" w:rsidR="00EE1371" w:rsidRPr="00EE1371" w:rsidRDefault="00EE1371" w:rsidP="00147535">
      <w:pPr>
        <w:spacing w:before="120" w:after="120" w:line="288" w:lineRule="auto"/>
        <w:ind w:firstLineChars="200" w:firstLine="420"/>
        <w:contextualSpacing/>
        <w:jc w:val="both"/>
        <w:rPr>
          <w:rFonts w:ascii="宋体" w:eastAsia="宋体" w:hAnsi="宋体" w:cs="Arial" w:hint="eastAsia"/>
          <w:sz w:val="21"/>
          <w:szCs w:val="21"/>
        </w:rPr>
      </w:pPr>
      <w:r w:rsidRPr="00EE1371">
        <w:rPr>
          <w:rFonts w:ascii="宋体" w:eastAsia="宋体" w:hAnsi="宋体" w:cs="Arial"/>
          <w:sz w:val="21"/>
          <w:szCs w:val="21"/>
        </w:rPr>
        <w:t>天然气管网数据集针对全国6万公里管网70万测点实时数据分散、上下游流通壁垒高的场景，构建管网8大运行子集，分级管控核心涉密调度数据，依托可信数据空间实现上下游企业脱敏数据集协同共享。支撑管网智能调控大模型，高峰保供调度效率提升35%，管网供需匹配精度显著提升。</w:t>
      </w:r>
    </w:p>
    <w:p w14:paraId="5DE1C079" w14:textId="2CCF2753" w:rsidR="00EE1371" w:rsidRPr="004644E4" w:rsidRDefault="00EE1371" w:rsidP="00147535">
      <w:pPr>
        <w:spacing w:before="120" w:after="120" w:line="288" w:lineRule="auto"/>
        <w:contextualSpacing/>
        <w:jc w:val="both"/>
        <w:rPr>
          <w:rFonts w:ascii="宋体" w:eastAsia="宋体" w:hAnsi="宋体" w:cs="Arial" w:hint="eastAsia"/>
          <w:b/>
          <w:bCs/>
          <w:sz w:val="21"/>
          <w:szCs w:val="21"/>
        </w:rPr>
      </w:pPr>
      <w:r w:rsidRPr="004644E4">
        <w:rPr>
          <w:rFonts w:ascii="宋体" w:eastAsia="宋体" w:hAnsi="宋体" w:cs="Arial"/>
          <w:b/>
          <w:bCs/>
          <w:sz w:val="21"/>
          <w:szCs w:val="21"/>
        </w:rPr>
        <w:t>6.5 钻完井专识数据集</w:t>
      </w:r>
    </w:p>
    <w:p w14:paraId="38A1D7D2" w14:textId="77777777" w:rsidR="00EE1371" w:rsidRPr="00EE1371" w:rsidRDefault="00EE1371" w:rsidP="00147535">
      <w:pPr>
        <w:spacing w:before="120" w:after="120" w:line="288" w:lineRule="auto"/>
        <w:ind w:firstLineChars="200" w:firstLine="420"/>
        <w:contextualSpacing/>
        <w:jc w:val="both"/>
        <w:rPr>
          <w:rFonts w:ascii="宋体" w:eastAsia="宋体" w:hAnsi="宋体" w:cs="Arial" w:hint="eastAsia"/>
          <w:sz w:val="21"/>
          <w:szCs w:val="21"/>
        </w:rPr>
      </w:pPr>
      <w:r w:rsidRPr="00EE1371">
        <w:rPr>
          <w:rFonts w:ascii="宋体" w:eastAsia="宋体" w:hAnsi="宋体" w:cs="Arial"/>
          <w:sz w:val="21"/>
          <w:szCs w:val="21"/>
        </w:rPr>
        <w:t>钻完井专识数据集整合辽河、西南等主力产区180TB钻井工程多模态数据，统一钻井参数与事故样本标注标准，涉密钻井数据采用联邦学习本地训练，脱敏样本跨油田共享。落地后钻井风险预警模型准确率88%，井下复杂事故发生率下降27%，入选世界人工智能大会央企成果。</w:t>
      </w:r>
    </w:p>
    <w:p w14:paraId="68894F27" w14:textId="4C76FCA2" w:rsidR="00EE1371" w:rsidRPr="004644E4" w:rsidRDefault="00EE1371" w:rsidP="00EE1371">
      <w:pPr>
        <w:spacing w:before="120" w:after="120" w:line="288" w:lineRule="auto"/>
        <w:contextualSpacing/>
        <w:rPr>
          <w:rFonts w:ascii="宋体" w:eastAsia="宋体" w:hAnsi="宋体" w:cs="Arial" w:hint="eastAsia"/>
          <w:b/>
          <w:bCs/>
          <w:sz w:val="21"/>
          <w:szCs w:val="21"/>
        </w:rPr>
      </w:pPr>
      <w:r w:rsidRPr="004644E4">
        <w:rPr>
          <w:rFonts w:ascii="宋体" w:eastAsia="宋体" w:hAnsi="宋体" w:cs="Arial"/>
          <w:b/>
          <w:bCs/>
          <w:sz w:val="21"/>
          <w:szCs w:val="21"/>
        </w:rPr>
        <w:t>6.6 案例对标分析</w:t>
      </w:r>
    </w:p>
    <w:p w14:paraId="76AE726B" w14:textId="77777777" w:rsidR="00EE1371" w:rsidRPr="00EE1371" w:rsidRDefault="00EE1371" w:rsidP="00147535">
      <w:pPr>
        <w:spacing w:before="120" w:after="120" w:line="288" w:lineRule="auto"/>
        <w:ind w:firstLineChars="200" w:firstLine="420"/>
        <w:contextualSpacing/>
        <w:jc w:val="both"/>
        <w:rPr>
          <w:rFonts w:ascii="宋体" w:eastAsia="宋体" w:hAnsi="宋体" w:cs="Arial" w:hint="eastAsia"/>
          <w:sz w:val="21"/>
          <w:szCs w:val="21"/>
        </w:rPr>
      </w:pPr>
      <w:r w:rsidRPr="00EE1371">
        <w:rPr>
          <w:rFonts w:ascii="宋体" w:eastAsia="宋体" w:hAnsi="宋体" w:cs="Arial"/>
          <w:sz w:val="21"/>
          <w:szCs w:val="21"/>
        </w:rPr>
        <w:t>四个数据集案例从产业链环节、数据密级、流通模式与业务增益四个维度横向对标（表3）。测井数据集处上游勘探环节，一级涉密管控，依托密态融合与定向授权流通，单井解释效率提升10倍；炼化时序数据集处中游炼化环节，二级脱敏管控，依托内部共享通道流通，故障停机时间下降40%；管网数据集跨中游储运与调度环节，涉密分级管控，依托可信数据空间流通，保供调度效率提升35%；钻完井数据集处上游钻完井环节，涉密数据联邦学习，依托跨油田共享流通，事故发生率下降27%。四类案例均严格遵循顶层制</w:t>
      </w:r>
      <w:r w:rsidRPr="00EE1371">
        <w:rPr>
          <w:rFonts w:ascii="宋体" w:eastAsia="宋体" w:hAnsi="宋体" w:cs="Arial"/>
          <w:sz w:val="21"/>
          <w:szCs w:val="21"/>
        </w:rPr>
        <w:lastRenderedPageBreak/>
        <w:t>度、标准规范、技术平台、数据管理、应用服务五层架构，执行确权定级、分级脱敏、分层共享、溯源监管六维闭环，全部纳入昆仑大模型统一数据供给池，形成治理产出数据集、数据集训练垂直大模型、大模型反向优化数据标注的双向迭代闭环。综合试点与四类案例完整证明，本文构建的治理架构与流通机制适配油气行业高涉密、长链条、多模态数据特征，依托成熟度分阶段建设与集团专项统筹，可系统性解决数据孤岛、标准混乱、流通壁垒与数据集供给不足等痛点，具备全行业复制推广价值。</w:t>
      </w:r>
    </w:p>
    <w:p w14:paraId="470E5FF3" w14:textId="016713BA" w:rsidR="00EE1371" w:rsidRPr="00147535" w:rsidRDefault="00EE1371" w:rsidP="00147535">
      <w:pPr>
        <w:spacing w:before="120" w:after="120" w:line="288" w:lineRule="auto"/>
        <w:contextualSpacing/>
        <w:jc w:val="center"/>
        <w:rPr>
          <w:rFonts w:ascii="宋体" w:eastAsia="宋体" w:hAnsi="宋体" w:cs="Arial" w:hint="eastAsia"/>
          <w:b/>
          <w:bCs/>
          <w:sz w:val="21"/>
          <w:szCs w:val="21"/>
        </w:rPr>
      </w:pPr>
      <w:r w:rsidRPr="00147535">
        <w:rPr>
          <w:rFonts w:ascii="宋体" w:eastAsia="宋体" w:hAnsi="宋体" w:cs="Arial"/>
          <w:b/>
          <w:bCs/>
          <w:sz w:val="21"/>
          <w:szCs w:val="21"/>
        </w:rPr>
        <w:t>表3 四大数据集案例横向对标</w:t>
      </w:r>
    </w:p>
    <w:tbl>
      <w:tblPr>
        <w:tblW w:w="5000" w:type="pct"/>
        <w:tblCellMar>
          <w:top w:w="15" w:type="dxa"/>
          <w:left w:w="15" w:type="dxa"/>
          <w:bottom w:w="15" w:type="dxa"/>
          <w:right w:w="15" w:type="dxa"/>
        </w:tblCellMar>
        <w:tblLook w:val="04A0" w:firstRow="1" w:lastRow="0" w:firstColumn="1" w:lastColumn="0" w:noHBand="0" w:noVBand="1"/>
      </w:tblPr>
      <w:tblGrid>
        <w:gridCol w:w="1578"/>
        <w:gridCol w:w="973"/>
        <w:gridCol w:w="1058"/>
        <w:gridCol w:w="2047"/>
        <w:gridCol w:w="2889"/>
      </w:tblGrid>
      <w:tr w:rsidR="004644E4" w:rsidRPr="004644E4" w14:paraId="094A59D7" w14:textId="77777777">
        <w:trPr>
          <w:tblHeader/>
        </w:trPr>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45529AD" w14:textId="77777777" w:rsidR="004644E4" w:rsidRPr="004644E4" w:rsidRDefault="004644E4" w:rsidP="004644E4">
            <w:pPr>
              <w:spacing w:before="120" w:after="120" w:line="288" w:lineRule="auto"/>
              <w:contextualSpacing/>
              <w:rPr>
                <w:rFonts w:ascii="宋体" w:eastAsia="宋体" w:hAnsi="宋体" w:cs="Arial" w:hint="eastAsia"/>
                <w:b/>
                <w:bCs/>
                <w:sz w:val="21"/>
                <w:szCs w:val="21"/>
              </w:rPr>
            </w:pPr>
            <w:r w:rsidRPr="004644E4">
              <w:rPr>
                <w:rFonts w:ascii="宋体" w:eastAsia="宋体" w:hAnsi="宋体" w:cs="Arial"/>
                <w:b/>
                <w:bCs/>
                <w:sz w:val="21"/>
                <w:szCs w:val="21"/>
              </w:rPr>
              <w:t>案例名称</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22CAF70" w14:textId="77777777" w:rsidR="004644E4" w:rsidRPr="004644E4" w:rsidRDefault="004644E4" w:rsidP="004644E4">
            <w:pPr>
              <w:spacing w:before="120" w:after="120" w:line="288" w:lineRule="auto"/>
              <w:contextualSpacing/>
              <w:rPr>
                <w:rFonts w:ascii="宋体" w:eastAsia="宋体" w:hAnsi="宋体" w:cs="Arial" w:hint="eastAsia"/>
                <w:b/>
                <w:bCs/>
                <w:sz w:val="21"/>
                <w:szCs w:val="21"/>
              </w:rPr>
            </w:pPr>
            <w:r w:rsidRPr="004644E4">
              <w:rPr>
                <w:rFonts w:ascii="宋体" w:eastAsia="宋体" w:hAnsi="宋体" w:cs="Arial"/>
                <w:b/>
                <w:bCs/>
                <w:sz w:val="21"/>
                <w:szCs w:val="21"/>
              </w:rPr>
              <w:t>所属产业链环节</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7530A24" w14:textId="77777777" w:rsidR="004644E4" w:rsidRPr="004644E4" w:rsidRDefault="004644E4" w:rsidP="004644E4">
            <w:pPr>
              <w:spacing w:before="120" w:after="120" w:line="288" w:lineRule="auto"/>
              <w:contextualSpacing/>
              <w:rPr>
                <w:rFonts w:ascii="宋体" w:eastAsia="宋体" w:hAnsi="宋体" w:cs="Arial" w:hint="eastAsia"/>
                <w:b/>
                <w:bCs/>
                <w:sz w:val="21"/>
                <w:szCs w:val="21"/>
              </w:rPr>
            </w:pPr>
            <w:r w:rsidRPr="004644E4">
              <w:rPr>
                <w:rFonts w:ascii="宋体" w:eastAsia="宋体" w:hAnsi="宋体" w:cs="Arial"/>
                <w:b/>
                <w:bCs/>
                <w:sz w:val="21"/>
                <w:szCs w:val="21"/>
              </w:rPr>
              <w:t>数据密级管控</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7B8F899" w14:textId="77777777" w:rsidR="004644E4" w:rsidRPr="004644E4" w:rsidRDefault="004644E4" w:rsidP="004644E4">
            <w:pPr>
              <w:spacing w:before="120" w:after="120" w:line="288" w:lineRule="auto"/>
              <w:contextualSpacing/>
              <w:rPr>
                <w:rFonts w:ascii="宋体" w:eastAsia="宋体" w:hAnsi="宋体" w:cs="Arial" w:hint="eastAsia"/>
                <w:b/>
                <w:bCs/>
                <w:sz w:val="21"/>
                <w:szCs w:val="21"/>
              </w:rPr>
            </w:pPr>
            <w:r w:rsidRPr="004644E4">
              <w:rPr>
                <w:rFonts w:ascii="宋体" w:eastAsia="宋体" w:hAnsi="宋体" w:cs="Arial"/>
                <w:b/>
                <w:bCs/>
                <w:sz w:val="21"/>
                <w:szCs w:val="21"/>
              </w:rPr>
              <w:t>数据流通落地模式</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E25C02C" w14:textId="77777777" w:rsidR="004644E4" w:rsidRPr="004644E4" w:rsidRDefault="004644E4" w:rsidP="004644E4">
            <w:pPr>
              <w:spacing w:before="120" w:after="120" w:line="288" w:lineRule="auto"/>
              <w:contextualSpacing/>
              <w:rPr>
                <w:rFonts w:ascii="宋体" w:eastAsia="宋体" w:hAnsi="宋体" w:cs="Arial" w:hint="eastAsia"/>
                <w:b/>
                <w:bCs/>
                <w:sz w:val="21"/>
                <w:szCs w:val="21"/>
              </w:rPr>
            </w:pPr>
            <w:r w:rsidRPr="004644E4">
              <w:rPr>
                <w:rFonts w:ascii="宋体" w:eastAsia="宋体" w:hAnsi="宋体" w:cs="Arial"/>
                <w:b/>
                <w:bCs/>
                <w:sz w:val="21"/>
                <w:szCs w:val="21"/>
              </w:rPr>
              <w:t>业务落地增益效果</w:t>
            </w:r>
          </w:p>
        </w:tc>
      </w:tr>
      <w:tr w:rsidR="004644E4" w:rsidRPr="004644E4" w14:paraId="68DB6B3C" w14:textId="77777777">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4653858"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中油测井地球物理测井数据集</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A2F3407"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上游勘探开发</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FEBC2E4"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一级涉密数据</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2A07035"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本地密态大数据融合、定向科研授权</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FFD70C0"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单井地质解释效率提升 10 倍，覆盖 6000 + 井次</w:t>
            </w:r>
          </w:p>
        </w:tc>
      </w:tr>
      <w:tr w:rsidR="004644E4" w:rsidRPr="004644E4" w14:paraId="30447710" w14:textId="77777777">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4ADD5CE"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中石油炼化时序高质量数据集</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BF02716"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中游炼化生产</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7185C5F"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二级经营脱敏数据</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C9C7922"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集团内部标准化数据集定向共享通道</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9DFF846"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装置故障停机时长下降 40%，工况预测准确率 92%</w:t>
            </w:r>
          </w:p>
        </w:tc>
      </w:tr>
      <w:tr w:rsidR="004644E4" w:rsidRPr="004644E4" w14:paraId="4831060C" w14:textId="77777777">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D986E4A"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国家管网天然气管网运行数据集</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BCBDFAD"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中游储运调度</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750E50A"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分级涉密管控</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56F6768"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产业链可信数据空间脱敏协同共享</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DDED227"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管网供需匹配精度提升，高峰保供调度效率提升 35%</w:t>
            </w:r>
          </w:p>
        </w:tc>
      </w:tr>
      <w:tr w:rsidR="004644E4" w:rsidRPr="004644E4" w14:paraId="53D0AD12" w14:textId="77777777">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BC1D912"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中石油油气钻完井专识数据集</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6B151CA"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上游钻完井工程</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B9BB2D0"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涉密数据</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F2795EC"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联邦学习本地训练、脱敏样本跨油田共享</w:t>
            </w:r>
          </w:p>
        </w:tc>
        <w:tc>
          <w:tcPr>
            <w:tcW w:w="0" w:type="auto"/>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CAF800F" w14:textId="77777777" w:rsidR="004644E4" w:rsidRPr="004644E4" w:rsidRDefault="004644E4" w:rsidP="004644E4">
            <w:pPr>
              <w:spacing w:before="120" w:after="120" w:line="288" w:lineRule="auto"/>
              <w:contextualSpacing/>
              <w:rPr>
                <w:rFonts w:ascii="宋体" w:eastAsia="宋体" w:hAnsi="宋体" w:cs="Arial" w:hint="eastAsia"/>
                <w:sz w:val="21"/>
                <w:szCs w:val="21"/>
              </w:rPr>
            </w:pPr>
            <w:r w:rsidRPr="004644E4">
              <w:rPr>
                <w:rFonts w:ascii="宋体" w:eastAsia="宋体" w:hAnsi="宋体" w:cs="Arial"/>
                <w:sz w:val="21"/>
                <w:szCs w:val="21"/>
              </w:rPr>
              <w:t>井下复杂事故发生率下降 27%，钻井风险预警模型准确率 88%</w:t>
            </w:r>
          </w:p>
        </w:tc>
      </w:tr>
    </w:tbl>
    <w:p w14:paraId="4730F994" w14:textId="77777777" w:rsidR="00EE1371" w:rsidRPr="004644E4" w:rsidRDefault="00EE1371" w:rsidP="006507B8">
      <w:pPr>
        <w:spacing w:before="120" w:after="120" w:line="288" w:lineRule="auto"/>
        <w:contextualSpacing/>
        <w:rPr>
          <w:rFonts w:ascii="宋体" w:eastAsia="宋体" w:hAnsi="宋体" w:cs="Arial" w:hint="eastAsia"/>
          <w:sz w:val="21"/>
          <w:szCs w:val="21"/>
        </w:rPr>
      </w:pPr>
    </w:p>
    <w:p w14:paraId="0129D5B7" w14:textId="77777777" w:rsidR="00EE1371" w:rsidRDefault="00EE1371" w:rsidP="006507B8">
      <w:pPr>
        <w:spacing w:before="120" w:after="120" w:line="288" w:lineRule="auto"/>
        <w:contextualSpacing/>
        <w:rPr>
          <w:rFonts w:ascii="宋体" w:eastAsia="宋体" w:hAnsi="宋体" w:cs="Arial" w:hint="eastAsia"/>
          <w:sz w:val="21"/>
          <w:szCs w:val="21"/>
        </w:rPr>
      </w:pPr>
    </w:p>
    <w:p w14:paraId="4E807BCC" w14:textId="77777777" w:rsidR="00836950" w:rsidRPr="004A040E" w:rsidRDefault="00836950" w:rsidP="006507B8">
      <w:pPr>
        <w:spacing w:before="120" w:after="120" w:line="288" w:lineRule="auto"/>
        <w:contextualSpacing/>
        <w:rPr>
          <w:rFonts w:ascii="宋体" w:eastAsia="宋体" w:hAnsi="宋体" w:cs="Arial" w:hint="eastAsia"/>
          <w:sz w:val="21"/>
          <w:szCs w:val="21"/>
        </w:rPr>
      </w:pPr>
    </w:p>
    <w:p w14:paraId="5E3E4FED" w14:textId="41918A38" w:rsidR="00B46A1E" w:rsidRPr="00CF6728" w:rsidRDefault="00000000">
      <w:pPr>
        <w:spacing w:before="320" w:after="120" w:line="288" w:lineRule="auto"/>
        <w:contextualSpacing/>
        <w:outlineLvl w:val="1"/>
        <w:rPr>
          <w:rFonts w:ascii="黑体" w:eastAsia="黑体" w:hAnsi="黑体" w:hint="eastAsia"/>
          <w:bCs/>
          <w:sz w:val="21"/>
          <w:szCs w:val="21"/>
        </w:rPr>
      </w:pPr>
      <w:bookmarkStart w:id="7" w:name="heading_75"/>
      <w:r w:rsidRPr="00CF6728">
        <w:rPr>
          <w:rFonts w:ascii="黑体" w:eastAsia="黑体" w:hAnsi="黑体" w:cs="Arial" w:hint="eastAsia"/>
          <w:bCs/>
          <w:sz w:val="21"/>
          <w:szCs w:val="21"/>
        </w:rPr>
        <w:t>7</w:t>
      </w:r>
      <w:r w:rsidR="00A11BCD" w:rsidRPr="00CF6728">
        <w:rPr>
          <w:rFonts w:ascii="黑体" w:eastAsia="黑体" w:hAnsi="黑体" w:cs="Arial" w:hint="eastAsia"/>
          <w:bCs/>
          <w:sz w:val="21"/>
          <w:szCs w:val="21"/>
        </w:rPr>
        <w:t xml:space="preserve"> </w:t>
      </w:r>
      <w:r w:rsidRPr="00CF6728">
        <w:rPr>
          <w:rFonts w:ascii="黑体" w:eastAsia="黑体" w:hAnsi="黑体" w:cs="Arial"/>
          <w:bCs/>
          <w:sz w:val="21"/>
          <w:szCs w:val="21"/>
        </w:rPr>
        <w:t>结论与展望</w:t>
      </w:r>
      <w:bookmarkEnd w:id="7"/>
    </w:p>
    <w:p w14:paraId="5788AA82" w14:textId="77777777" w:rsidR="00836950" w:rsidRPr="00CF6728" w:rsidRDefault="00836950" w:rsidP="00836950">
      <w:pPr>
        <w:spacing w:before="120" w:after="120" w:line="288" w:lineRule="auto"/>
        <w:ind w:firstLineChars="200" w:firstLine="420"/>
        <w:contextualSpacing/>
        <w:jc w:val="both"/>
        <w:rPr>
          <w:rFonts w:ascii="宋体" w:eastAsia="宋体" w:hAnsi="宋体" w:hint="eastAsia"/>
          <w:sz w:val="21"/>
          <w:szCs w:val="21"/>
        </w:rPr>
      </w:pPr>
      <w:r w:rsidRPr="00CF6728">
        <w:rPr>
          <w:rFonts w:ascii="宋体" w:eastAsia="宋体" w:hAnsi="宋体"/>
          <w:sz w:val="21"/>
          <w:szCs w:val="21"/>
        </w:rPr>
        <w:t>本文立足数字经济与数据要素市场化改革背景，聚焦油气全产业链数据治理与流通问题。研究表明，油气行业存在数据标准不统一、确权流通机制缺失、高质量数据集供给不足等痛点，根源在于顶层统筹缺位、制度配套滞后与技术落地无序。据此，本文构建顶层制度层、标准规范层、技术平台层、数据管理层与应用服务层五层治理架构，设计确权定级、脱敏合规、共享流通、定价交易、收益分配、监管溯源六位一体闭环流通机制，并以昆仑数智及四个国家级能源人工智能数据集案例完成实证，验证了该框架对油气行业高涉密、长链条、多模态数据特征的适配性与推广价值。本文核心创新集中体现在理论工具、架构体系与实践落地三个层面。理论工具创新层面，将IDC双成熟度模型本土化应用于油气行业，建立数据与人工智能一体化阶梯式建设路径；架构创新层面，构建适配油气涉密特性的五层全产业链治理架构与六维全闭环流通机制；实践落地创新层面，打通数据治理、标注数据集与行业大模型双向协同模式，形成可复制的央企数字化试点方案。未来可从三方面深化，资产运营层面引入期权定价与收益分成等金融工程方法完善数据资产估值框架，跨域协同层面探索跨区域、跨管网、跨集团的数据流通规则，人工智能协同层面深化大模型与数据治理双向赋能，研发自动清洗、智能标注与数据集动态盘点工具，深度释放油气数据价值。</w:t>
      </w:r>
      <w:r w:rsidRPr="00CF6728">
        <w:rPr>
          <w:rFonts w:ascii="宋体" w:eastAsia="宋体" w:hAnsi="宋体"/>
          <w:sz w:val="21"/>
          <w:szCs w:val="21"/>
        </w:rPr>
      </w:r>
    </w:p>
    <w:p w14:paraId="0B344AA0" w14:textId="77777777" w:rsidR="00B46A1E" w:rsidRDefault="00B46A1E">
      <w:pPr>
        <w:spacing w:before="120" w:after="120" w:line="288" w:lineRule="auto"/>
        <w:contextualSpacing/>
        <w:jc w:val="both"/>
        <w:rPr>
          <w:rFonts w:ascii="宋体" w:eastAsia="宋体" w:hAnsi="宋体" w:hint="eastAsia"/>
          <w:sz w:val="24"/>
        </w:rPr>
      </w:pPr>
    </w:p>
    <w:p w14:paraId="701F8B1A" w14:textId="77777777" w:rsidR="00B46A1E" w:rsidRPr="004603BA" w:rsidRDefault="00B46A1E">
      <w:pPr>
        <w:spacing w:before="120" w:after="120" w:line="288" w:lineRule="auto"/>
        <w:contextualSpacing/>
        <w:jc w:val="both"/>
        <w:rPr>
          <w:rFonts w:ascii="宋体" w:eastAsia="宋体" w:hAnsi="宋体" w:hint="eastAsia"/>
          <w:sz w:val="21"/>
          <w:szCs w:val="21"/>
        </w:rPr>
      </w:pPr>
    </w:p>
    <w:p w14:paraId="05286061" w14:textId="77777777" w:rsidR="00B46A1E" w:rsidRPr="004603BA" w:rsidRDefault="00B46A1E">
      <w:pPr>
        <w:spacing w:before="120" w:after="120" w:line="288" w:lineRule="auto"/>
        <w:contextualSpacing/>
        <w:jc w:val="both"/>
        <w:rPr>
          <w:rFonts w:ascii="宋体" w:eastAsia="宋体" w:hAnsi="宋体" w:hint="eastAsia"/>
          <w:sz w:val="21"/>
          <w:szCs w:val="21"/>
        </w:rPr>
      </w:pPr>
    </w:p>
    <w:p w14:paraId="79062D7F" w14:textId="77777777" w:rsidR="00B46A1E" w:rsidRPr="004603BA" w:rsidRDefault="00000000">
      <w:pPr>
        <w:spacing w:before="320" w:after="120" w:line="288" w:lineRule="auto"/>
        <w:contextualSpacing/>
        <w:outlineLvl w:val="1"/>
        <w:rPr>
          <w:rFonts w:ascii="黑体" w:eastAsia="黑体" w:hAnsi="黑体" w:hint="eastAsia"/>
          <w:bCs/>
          <w:sz w:val="21"/>
          <w:szCs w:val="21"/>
        </w:rPr>
      </w:pPr>
      <w:bookmarkStart w:id="8" w:name="heading_79"/>
      <w:r w:rsidRPr="004603BA">
        <w:rPr>
          <w:rFonts w:ascii="黑体" w:eastAsia="黑体" w:hAnsi="黑体" w:cs="Arial"/>
          <w:bCs/>
          <w:sz w:val="21"/>
          <w:szCs w:val="21"/>
        </w:rPr>
        <w:t>参考文献</w:t>
      </w:r>
      <w:bookmarkEnd w:id="8"/>
    </w:p>
    <w:p w14:paraId="7D0C4D2E" w14:textId="77777777"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hint="eastAsia"/>
          <w:sz w:val="21"/>
          <w:szCs w:val="21"/>
        </w:rPr>
        <w:t>[1]国家发改委，国家能源局，工信部，国家数据局。关于促进人工智能与能源双向赋能的行动方案[Z].2026.</w:t>
      </w:r>
    </w:p>
    <w:p w14:paraId="5BF9DB37" w14:textId="77777777"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hint="eastAsia"/>
          <w:sz w:val="21"/>
          <w:szCs w:val="21"/>
        </w:rPr>
        <w:t>[2]国家数据局等17部门.“数据要素×”三年行动计划（2024—2026年）[Z].2023.</w:t>
      </w:r>
    </w:p>
    <w:p w14:paraId="1B5BB06A" w14:textId="22F7E161"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sz w:val="21"/>
          <w:szCs w:val="21"/>
        </w:rPr>
        <w:t>[</w:t>
      </w:r>
      <w:r w:rsidRPr="004603BA">
        <w:rPr>
          <w:rFonts w:ascii="宋体" w:eastAsia="宋体" w:hAnsi="宋体" w:cs="Arial" w:hint="eastAsia"/>
          <w:sz w:val="21"/>
          <w:szCs w:val="21"/>
        </w:rPr>
        <w:t>3</w:t>
      </w:r>
      <w:r w:rsidRPr="004603BA">
        <w:rPr>
          <w:rFonts w:ascii="宋体" w:eastAsia="宋体" w:hAnsi="宋体" w:cs="Arial"/>
          <w:sz w:val="21"/>
          <w:szCs w:val="21"/>
        </w:rPr>
        <w:t>]刘合，任义丽，李欣，等。油气行业人工智能大模型应用研究现状及展望[J].石油勘探与开发，2024,51(04):910-923.</w:t>
      </w:r>
    </w:p>
    <w:p w14:paraId="278B8769" w14:textId="77777777"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hint="eastAsia"/>
          <w:sz w:val="21"/>
          <w:szCs w:val="21"/>
        </w:rPr>
        <w:t>[4]戴厚良。全力推进“数智中国石油”建设筑牢世界一流企业数字底座[J].石油政工研究，2025(01).</w:t>
      </w:r>
    </w:p>
    <w:p w14:paraId="2ED683C3" w14:textId="77777777"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hint="eastAsia"/>
          <w:sz w:val="21"/>
          <w:szCs w:val="21"/>
        </w:rPr>
        <w:t>[5]昆仑数智科技有限责任公司。油气全产业链数据中台与AI数据集建设试点报告[R].2026.</w:t>
      </w:r>
    </w:p>
    <w:p w14:paraId="7689A7A7" w14:textId="7789FD31"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sz w:val="21"/>
          <w:szCs w:val="21"/>
        </w:rPr>
        <w:t>[</w:t>
      </w:r>
      <w:r w:rsidRPr="004603BA">
        <w:rPr>
          <w:rFonts w:ascii="宋体" w:eastAsia="宋体" w:hAnsi="宋体" w:cs="Arial" w:hint="eastAsia"/>
          <w:sz w:val="21"/>
          <w:szCs w:val="21"/>
        </w:rPr>
        <w:t>6</w:t>
      </w:r>
      <w:r w:rsidRPr="004603BA">
        <w:rPr>
          <w:rFonts w:ascii="宋体" w:eastAsia="宋体" w:hAnsi="宋体" w:cs="Arial"/>
          <w:sz w:val="21"/>
          <w:szCs w:val="21"/>
        </w:rPr>
        <w:t>]余国，安琪儿，刘孝成。新质生产力提升油气产业链供应链韧性的机制与路径[J].中国矿业，2025,34(03):23-32.</w:t>
      </w:r>
    </w:p>
    <w:p w14:paraId="19F1AD61" w14:textId="77777777"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hint="eastAsia"/>
          <w:sz w:val="21"/>
          <w:szCs w:val="21"/>
        </w:rPr>
        <w:t>[7]中国信息通信研究院。数据要素白皮书(2025)[R].北京：中国信通院，2025.</w:t>
      </w:r>
    </w:p>
    <w:p w14:paraId="67951184" w14:textId="3CADFBED"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sz w:val="21"/>
          <w:szCs w:val="21"/>
        </w:rPr>
        <w:t>[</w:t>
      </w:r>
      <w:r w:rsidRPr="004603BA">
        <w:rPr>
          <w:rFonts w:ascii="宋体" w:eastAsia="宋体" w:hAnsi="宋体" w:cs="Arial" w:hint="eastAsia"/>
          <w:sz w:val="21"/>
          <w:szCs w:val="21"/>
        </w:rPr>
        <w:t>8</w:t>
      </w:r>
      <w:r w:rsidRPr="004603BA">
        <w:rPr>
          <w:rFonts w:ascii="宋体" w:eastAsia="宋体" w:hAnsi="宋体" w:cs="Arial"/>
          <w:sz w:val="21"/>
          <w:szCs w:val="21"/>
        </w:rPr>
        <w:t>]乔泉熙。油气田勘探开发数据管理与应用技术体系探索[J].中国石油和化工标准与质量，2024,44(21):74-76.</w:t>
      </w:r>
    </w:p>
    <w:p w14:paraId="5CCDE665" w14:textId="4C4A587A"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sz w:val="21"/>
          <w:szCs w:val="21"/>
        </w:rPr>
        <w:t>[</w:t>
      </w:r>
      <w:r w:rsidRPr="004603BA">
        <w:rPr>
          <w:rFonts w:ascii="宋体" w:eastAsia="宋体" w:hAnsi="宋体" w:cs="Arial" w:hint="eastAsia"/>
          <w:sz w:val="21"/>
          <w:szCs w:val="21"/>
        </w:rPr>
        <w:t>9</w:t>
      </w:r>
      <w:r w:rsidRPr="004603BA">
        <w:rPr>
          <w:rFonts w:ascii="宋体" w:eastAsia="宋体" w:hAnsi="宋体" w:cs="Arial"/>
          <w:sz w:val="21"/>
          <w:szCs w:val="21"/>
        </w:rPr>
        <w:t>]牛永胜，岳翔，陈维汉，等。数据湖平台智能油田实时数据服务标准化研究[J].网络安全与数据治理，2024,43(09):77-83.</w:t>
      </w:r>
    </w:p>
    <w:p w14:paraId="620C8AAE" w14:textId="21D2286F"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sz w:val="21"/>
          <w:szCs w:val="21"/>
        </w:rPr>
        <w:t>[</w:t>
      </w:r>
      <w:r w:rsidRPr="004603BA">
        <w:rPr>
          <w:rFonts w:ascii="宋体" w:eastAsia="宋体" w:hAnsi="宋体" w:cs="Arial" w:hint="eastAsia"/>
          <w:sz w:val="21"/>
          <w:szCs w:val="21"/>
        </w:rPr>
        <w:t>10</w:t>
      </w:r>
      <w:r w:rsidRPr="004603BA">
        <w:rPr>
          <w:rFonts w:ascii="宋体" w:eastAsia="宋体" w:hAnsi="宋体" w:cs="Arial"/>
          <w:sz w:val="21"/>
          <w:szCs w:val="21"/>
        </w:rPr>
        <w:t>]赵刚。网络安全数据治理在石油石化行业中的关键作用与挑战[J].中国石油和化工标准与质量，2024,44(07):56-58.</w:t>
      </w:r>
    </w:p>
    <w:p w14:paraId="163114D3" w14:textId="42DD7CD8"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sz w:val="21"/>
          <w:szCs w:val="21"/>
        </w:rPr>
        <w:t>[</w:t>
      </w:r>
      <w:r w:rsidRPr="004603BA">
        <w:rPr>
          <w:rFonts w:ascii="宋体" w:eastAsia="宋体" w:hAnsi="宋体" w:cs="Arial" w:hint="eastAsia"/>
          <w:sz w:val="21"/>
          <w:szCs w:val="21"/>
        </w:rPr>
        <w:t>11</w:t>
      </w:r>
      <w:r w:rsidRPr="004603BA">
        <w:rPr>
          <w:rFonts w:ascii="宋体" w:eastAsia="宋体" w:hAnsi="宋体" w:cs="Arial"/>
          <w:sz w:val="21"/>
          <w:szCs w:val="21"/>
        </w:rPr>
        <w:t>]刘文立，陈士翀，刘文思，等。基于能源大数据特征的数据评价方法研究及应用[J].计算机技术与发展，2024,34(03):22-27.</w:t>
      </w:r>
    </w:p>
    <w:p w14:paraId="73F88D6F" w14:textId="0D14A6DC"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sz w:val="21"/>
          <w:szCs w:val="21"/>
        </w:rPr>
        <w:t>[</w:t>
      </w:r>
      <w:r w:rsidRPr="004603BA">
        <w:rPr>
          <w:rFonts w:ascii="宋体" w:eastAsia="宋体" w:hAnsi="宋体" w:cs="Arial" w:hint="eastAsia"/>
          <w:sz w:val="21"/>
          <w:szCs w:val="21"/>
        </w:rPr>
        <w:t>12</w:t>
      </w:r>
      <w:r w:rsidRPr="004603BA">
        <w:rPr>
          <w:rFonts w:ascii="宋体" w:eastAsia="宋体" w:hAnsi="宋体" w:cs="Arial"/>
          <w:sz w:val="21"/>
          <w:szCs w:val="21"/>
        </w:rPr>
        <w:t>]刘扬。石油石化行业的数据保护策略与挑战[J].石油知识，2024(04):65-66.</w:t>
      </w:r>
    </w:p>
    <w:p w14:paraId="2156D0AA" w14:textId="56E5C8E7"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sz w:val="21"/>
          <w:szCs w:val="21"/>
        </w:rPr>
        <w:t>[</w:t>
      </w:r>
      <w:r w:rsidRPr="004603BA">
        <w:rPr>
          <w:rFonts w:ascii="宋体" w:eastAsia="宋体" w:hAnsi="宋体" w:cs="Arial" w:hint="eastAsia"/>
          <w:sz w:val="21"/>
          <w:szCs w:val="21"/>
        </w:rPr>
        <w:t>13</w:t>
      </w:r>
      <w:r w:rsidRPr="004603BA">
        <w:rPr>
          <w:rFonts w:ascii="宋体" w:eastAsia="宋体" w:hAnsi="宋体" w:cs="Arial"/>
          <w:sz w:val="21"/>
          <w:szCs w:val="21"/>
        </w:rPr>
        <w:t>]尹楠，张倩，丁大勇。大数据与人工智能在油气田数智化转型中的应用研究[J].科海故事博览，2025(26):37-39.</w:t>
      </w:r>
    </w:p>
    <w:p w14:paraId="1A8FCE9F" w14:textId="5F078B23"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sz w:val="21"/>
          <w:szCs w:val="21"/>
        </w:rPr>
        <w:t>[</w:t>
      </w:r>
      <w:r w:rsidRPr="004603BA">
        <w:rPr>
          <w:rFonts w:ascii="宋体" w:eastAsia="宋体" w:hAnsi="宋体" w:cs="Arial" w:hint="eastAsia"/>
          <w:sz w:val="21"/>
          <w:szCs w:val="21"/>
        </w:rPr>
        <w:t>14</w:t>
      </w:r>
      <w:r w:rsidRPr="004603BA">
        <w:rPr>
          <w:rFonts w:ascii="宋体" w:eastAsia="宋体" w:hAnsi="宋体" w:cs="Arial"/>
          <w:sz w:val="21"/>
          <w:szCs w:val="21"/>
        </w:rPr>
        <w:t>]史乃彬。油气田企业数字化业务管理研究[J].中国管理信息化，2021,24(18):107-108.</w:t>
      </w:r>
    </w:p>
    <w:p w14:paraId="19F65A78" w14:textId="57C5CFC8" w:rsidR="00B46A1E" w:rsidRPr="004603BA" w:rsidRDefault="00000000">
      <w:pPr>
        <w:spacing w:before="120" w:after="120" w:line="288" w:lineRule="auto"/>
        <w:contextualSpacing/>
        <w:rPr>
          <w:rFonts w:ascii="宋体" w:eastAsia="宋体" w:hAnsi="宋体" w:cs="Arial" w:hint="eastAsia"/>
          <w:sz w:val="21"/>
          <w:szCs w:val="21"/>
        </w:rPr>
      </w:pPr>
      <w:r w:rsidRPr="004603BA">
        <w:rPr>
          <w:rFonts w:ascii="宋体" w:eastAsia="宋体" w:hAnsi="宋体" w:cs="Arial"/>
          <w:sz w:val="21"/>
          <w:szCs w:val="21"/>
        </w:rPr>
        <w:t>[</w:t>
      </w:r>
      <w:r w:rsidRPr="004603BA">
        <w:rPr>
          <w:rFonts w:ascii="宋体" w:eastAsia="宋体" w:hAnsi="宋体" w:cs="Arial" w:hint="eastAsia"/>
          <w:sz w:val="21"/>
          <w:szCs w:val="21"/>
        </w:rPr>
        <w:t>15</w:t>
      </w:r>
      <w:r w:rsidRPr="004603BA">
        <w:rPr>
          <w:rFonts w:ascii="宋体" w:eastAsia="宋体" w:hAnsi="宋体" w:cs="Arial"/>
          <w:sz w:val="21"/>
          <w:szCs w:val="21"/>
        </w:rPr>
        <w:t>]中国信息通信研究院。数据要素白皮书(2022年)[R].北京：中国信息通信研究院，2022.</w:t>
      </w:r>
    </w:p>
    <w:p w14:paraId="5CFDB1DA" w14:textId="23536449" w:rsidR="00221129" w:rsidRPr="004603BA" w:rsidRDefault="00221129" w:rsidP="00221129">
      <w:pPr>
        <w:spacing w:before="120" w:after="120" w:line="288" w:lineRule="auto"/>
        <w:contextualSpacing/>
        <w:rPr>
          <w:rFonts w:ascii="宋体" w:eastAsia="宋体" w:hAnsi="宋体" w:hint="eastAsia"/>
          <w:sz w:val="21"/>
          <w:szCs w:val="21"/>
        </w:rPr>
      </w:pPr>
      <w:r w:rsidRPr="004603BA">
        <w:rPr>
          <w:rFonts w:ascii="宋体" w:eastAsia="宋体" w:hAnsi="宋体"/>
          <w:sz w:val="21"/>
          <w:szCs w:val="21"/>
        </w:rPr>
        <w:t>[16] ABRAHAM R, SCHNEIDER J, VOM BROCKE J. Data governance: a conceptual framework, structured review, and research agenda[J]. International Journal of Information Management, 2019, 49: 424-438.</w:t>
      </w:r>
    </w:p>
    <w:p w14:paraId="1853C148" w14:textId="1C76FF74" w:rsidR="00221129" w:rsidRPr="004603BA" w:rsidRDefault="00221129" w:rsidP="00221129">
      <w:pPr>
        <w:spacing w:before="120" w:after="120" w:line="288" w:lineRule="auto"/>
        <w:contextualSpacing/>
        <w:rPr>
          <w:rFonts w:ascii="宋体" w:eastAsia="宋体" w:hAnsi="宋体" w:hint="eastAsia"/>
          <w:sz w:val="21"/>
          <w:szCs w:val="21"/>
        </w:rPr>
      </w:pPr>
      <w:r w:rsidRPr="004603BA">
        <w:rPr>
          <w:rFonts w:ascii="宋体" w:eastAsia="宋体" w:hAnsi="宋体"/>
          <w:sz w:val="21"/>
          <w:szCs w:val="21"/>
        </w:rPr>
        <w:t>[17] SU J, YAO S, LIU H. Data governance facilitate digital transformation of oil and gas industry[J]. Frontiers in Earth Science, 2022, 10: 861091.</w:t>
      </w:r>
    </w:p>
    <w:p w14:paraId="5FF722AA" w14:textId="48CE68CA" w:rsidR="00221129" w:rsidRPr="004603BA" w:rsidRDefault="00221129" w:rsidP="00221129">
      <w:pPr>
        <w:spacing w:before="120" w:after="120" w:line="288" w:lineRule="auto"/>
        <w:contextualSpacing/>
        <w:rPr>
          <w:rFonts w:ascii="宋体" w:eastAsia="宋体" w:hAnsi="宋体" w:hint="eastAsia"/>
          <w:sz w:val="21"/>
          <w:szCs w:val="21"/>
        </w:rPr>
      </w:pPr>
      <w:r w:rsidRPr="004603BA">
        <w:rPr>
          <w:rFonts w:ascii="宋体" w:eastAsia="宋体" w:hAnsi="宋体"/>
          <w:sz w:val="21"/>
          <w:szCs w:val="21"/>
        </w:rPr>
        <w:t>[18] FEBLOWITZ J. Analytics in oil and gas: the big deal about big data[C]//SPE Digital Energy Conference. Woodlands: SPE, 2013: SPE-163717-MS.</w:t>
      </w:r>
    </w:p>
    <w:p w14:paraId="3CD28EF0" w14:textId="0408494D" w:rsidR="00221129" w:rsidRPr="004603BA" w:rsidRDefault="00221129" w:rsidP="00221129">
      <w:pPr>
        <w:spacing w:before="120" w:after="120" w:line="288" w:lineRule="auto"/>
        <w:contextualSpacing/>
        <w:rPr>
          <w:rFonts w:ascii="宋体" w:eastAsia="宋体" w:hAnsi="宋体" w:hint="eastAsia"/>
          <w:sz w:val="21"/>
          <w:szCs w:val="21"/>
        </w:rPr>
      </w:pPr>
      <w:r w:rsidRPr="004603BA">
        <w:rPr>
          <w:rFonts w:ascii="宋体" w:eastAsia="宋体" w:hAnsi="宋体"/>
          <w:sz w:val="21"/>
          <w:szCs w:val="21"/>
        </w:rPr>
        <w:t xml:space="preserve">[19] CZVETKÓ T, ABONYI J. Data sharing in Industry 4.0: AutomationML, B2MML and International Data Spaces-based solutions[J]. Journal of Industrial Information </w:t>
      </w:r>
      <w:r w:rsidRPr="004603BA">
        <w:rPr>
          <w:rFonts w:ascii="宋体" w:eastAsia="宋体" w:hAnsi="宋体"/>
          <w:sz w:val="21"/>
          <w:szCs w:val="21"/>
        </w:rPr>
        <w:lastRenderedPageBreak/>
        <w:t>Integration, 2023, 33: 100438.</w:t>
      </w:r>
    </w:p>
    <w:p w14:paraId="6AD5E711" w14:textId="3EFC699E" w:rsidR="00221129" w:rsidRPr="004603BA" w:rsidRDefault="00221129" w:rsidP="00221129">
      <w:pPr>
        <w:spacing w:before="120" w:after="120" w:line="288" w:lineRule="auto"/>
        <w:contextualSpacing/>
        <w:rPr>
          <w:rFonts w:ascii="宋体" w:eastAsia="宋体" w:hAnsi="宋体" w:hint="eastAsia"/>
          <w:sz w:val="21"/>
          <w:szCs w:val="21"/>
        </w:rPr>
      </w:pPr>
      <w:r w:rsidRPr="004603BA">
        <w:rPr>
          <w:rFonts w:ascii="宋体" w:eastAsia="宋体" w:hAnsi="宋体"/>
          <w:sz w:val="21"/>
          <w:szCs w:val="21"/>
        </w:rPr>
        <w:t>[20] OTTO B. The evolution of data spaces[M]//Designing Data Spaces. Cham: Springer, 2022: 3-15.</w:t>
      </w:r>
    </w:p>
    <w:p w14:paraId="01C5154C" w14:textId="77777777" w:rsidR="00221129" w:rsidRPr="004603BA" w:rsidRDefault="00221129">
      <w:pPr>
        <w:spacing w:before="120" w:after="120" w:line="288" w:lineRule="auto"/>
        <w:contextualSpacing/>
        <w:rPr>
          <w:rFonts w:ascii="宋体" w:eastAsia="宋体" w:hAnsi="宋体" w:hint="eastAsia"/>
          <w:sz w:val="21"/>
          <w:szCs w:val="21"/>
        </w:rPr>
      </w:pPr>
    </w:p>
    <w:sectPr w:rsidR="00221129" w:rsidRPr="004603BA">
      <w:headerReference w:type="default" r:id="rId6"/>
      <w:footerReference w:type="default" r:id="rId7"/>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AA6AA" w14:textId="77777777" w:rsidR="00112193" w:rsidRDefault="00112193">
      <w:pPr>
        <w:spacing w:line="240" w:lineRule="auto"/>
        <w:rPr>
          <w:rFonts w:hint="eastAsia"/>
        </w:rPr>
      </w:pPr>
      <w:r>
        <w:separator/>
      </w:r>
    </w:p>
  </w:endnote>
  <w:endnote w:type="continuationSeparator" w:id="0">
    <w:p w14:paraId="0716E86B" w14:textId="77777777" w:rsidR="00112193" w:rsidRDefault="00112193">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8ED9" w14:textId="77777777" w:rsidR="00B46A1E" w:rsidRDefault="00B46A1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CAF89" w14:textId="77777777" w:rsidR="00112193" w:rsidRDefault="00112193">
      <w:pPr>
        <w:spacing w:after="0"/>
        <w:rPr>
          <w:rFonts w:hint="eastAsia"/>
        </w:rPr>
      </w:pPr>
      <w:r>
        <w:separator/>
      </w:r>
    </w:p>
  </w:footnote>
  <w:footnote w:type="continuationSeparator" w:id="0">
    <w:p w14:paraId="39162831" w14:textId="77777777" w:rsidR="00112193" w:rsidRDefault="00112193">
      <w:pPr>
        <w:spacing w:after="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66C73" w14:textId="77777777" w:rsidR="00B46A1E" w:rsidRDefault="00B46A1E">
    <w:pP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A011A2"/>
    <w:rsid w:val="00011B9B"/>
    <w:rsid w:val="00020FE0"/>
    <w:rsid w:val="00024629"/>
    <w:rsid w:val="00030CF8"/>
    <w:rsid w:val="00033030"/>
    <w:rsid w:val="00033490"/>
    <w:rsid w:val="0003351A"/>
    <w:rsid w:val="00054203"/>
    <w:rsid w:val="00060D22"/>
    <w:rsid w:val="00063BAE"/>
    <w:rsid w:val="00066695"/>
    <w:rsid w:val="000A52DD"/>
    <w:rsid w:val="000C4E5C"/>
    <w:rsid w:val="000D6F62"/>
    <w:rsid w:val="000E0C93"/>
    <w:rsid w:val="000F0899"/>
    <w:rsid w:val="001051CD"/>
    <w:rsid w:val="00112193"/>
    <w:rsid w:val="001468D6"/>
    <w:rsid w:val="00147535"/>
    <w:rsid w:val="001625E2"/>
    <w:rsid w:val="00164B4D"/>
    <w:rsid w:val="00164D11"/>
    <w:rsid w:val="00171B3D"/>
    <w:rsid w:val="00177576"/>
    <w:rsid w:val="00177E16"/>
    <w:rsid w:val="00191D48"/>
    <w:rsid w:val="00191E00"/>
    <w:rsid w:val="00193D53"/>
    <w:rsid w:val="001A020B"/>
    <w:rsid w:val="001E7A03"/>
    <w:rsid w:val="001F390F"/>
    <w:rsid w:val="001F5B43"/>
    <w:rsid w:val="002067A4"/>
    <w:rsid w:val="00210A33"/>
    <w:rsid w:val="0021489B"/>
    <w:rsid w:val="00221129"/>
    <w:rsid w:val="00225C17"/>
    <w:rsid w:val="00241890"/>
    <w:rsid w:val="00262DA3"/>
    <w:rsid w:val="00263137"/>
    <w:rsid w:val="002675FE"/>
    <w:rsid w:val="002726E9"/>
    <w:rsid w:val="00272F3A"/>
    <w:rsid w:val="00277AE6"/>
    <w:rsid w:val="002946A1"/>
    <w:rsid w:val="00294A81"/>
    <w:rsid w:val="002A2E2D"/>
    <w:rsid w:val="002A2F7F"/>
    <w:rsid w:val="002A444E"/>
    <w:rsid w:val="002A45B0"/>
    <w:rsid w:val="002B0E8F"/>
    <w:rsid w:val="002B2346"/>
    <w:rsid w:val="002C006B"/>
    <w:rsid w:val="002C0974"/>
    <w:rsid w:val="002C1444"/>
    <w:rsid w:val="002C43CA"/>
    <w:rsid w:val="002F1408"/>
    <w:rsid w:val="00300142"/>
    <w:rsid w:val="00310859"/>
    <w:rsid w:val="00320E13"/>
    <w:rsid w:val="0032641A"/>
    <w:rsid w:val="0033674A"/>
    <w:rsid w:val="0034385F"/>
    <w:rsid w:val="0034738E"/>
    <w:rsid w:val="00360746"/>
    <w:rsid w:val="00365F43"/>
    <w:rsid w:val="003909A9"/>
    <w:rsid w:val="00397F02"/>
    <w:rsid w:val="003A5883"/>
    <w:rsid w:val="003B567C"/>
    <w:rsid w:val="003B6D1E"/>
    <w:rsid w:val="003C5F4F"/>
    <w:rsid w:val="003D420A"/>
    <w:rsid w:val="003E7187"/>
    <w:rsid w:val="003F03F6"/>
    <w:rsid w:val="003F236C"/>
    <w:rsid w:val="00400C0D"/>
    <w:rsid w:val="0040202D"/>
    <w:rsid w:val="0040317F"/>
    <w:rsid w:val="00410128"/>
    <w:rsid w:val="0041113F"/>
    <w:rsid w:val="00413849"/>
    <w:rsid w:val="004157D9"/>
    <w:rsid w:val="00416AF9"/>
    <w:rsid w:val="00416B50"/>
    <w:rsid w:val="00425AEA"/>
    <w:rsid w:val="00430F9C"/>
    <w:rsid w:val="00433564"/>
    <w:rsid w:val="0043492B"/>
    <w:rsid w:val="00442E1C"/>
    <w:rsid w:val="00447BE4"/>
    <w:rsid w:val="00454830"/>
    <w:rsid w:val="00456AE3"/>
    <w:rsid w:val="004603BA"/>
    <w:rsid w:val="00463383"/>
    <w:rsid w:val="004644E4"/>
    <w:rsid w:val="00465DBB"/>
    <w:rsid w:val="0047004D"/>
    <w:rsid w:val="00484216"/>
    <w:rsid w:val="00490265"/>
    <w:rsid w:val="00490E1F"/>
    <w:rsid w:val="0049119D"/>
    <w:rsid w:val="004A040E"/>
    <w:rsid w:val="004B106F"/>
    <w:rsid w:val="004B33FB"/>
    <w:rsid w:val="004D31F8"/>
    <w:rsid w:val="004D3F90"/>
    <w:rsid w:val="004E45C1"/>
    <w:rsid w:val="004F2BF7"/>
    <w:rsid w:val="005002AC"/>
    <w:rsid w:val="00505B13"/>
    <w:rsid w:val="00506135"/>
    <w:rsid w:val="00506980"/>
    <w:rsid w:val="00511373"/>
    <w:rsid w:val="005151FA"/>
    <w:rsid w:val="0052212A"/>
    <w:rsid w:val="00522F5A"/>
    <w:rsid w:val="005232C7"/>
    <w:rsid w:val="00525425"/>
    <w:rsid w:val="0052781F"/>
    <w:rsid w:val="005307EA"/>
    <w:rsid w:val="0053603C"/>
    <w:rsid w:val="00550AC8"/>
    <w:rsid w:val="00550E62"/>
    <w:rsid w:val="0055360F"/>
    <w:rsid w:val="005552EB"/>
    <w:rsid w:val="005562CC"/>
    <w:rsid w:val="0056133D"/>
    <w:rsid w:val="00565E6E"/>
    <w:rsid w:val="00566E7A"/>
    <w:rsid w:val="0056762C"/>
    <w:rsid w:val="00574FEE"/>
    <w:rsid w:val="005812EF"/>
    <w:rsid w:val="00581993"/>
    <w:rsid w:val="005864F0"/>
    <w:rsid w:val="005919AC"/>
    <w:rsid w:val="00592DDB"/>
    <w:rsid w:val="005965C5"/>
    <w:rsid w:val="005A53DC"/>
    <w:rsid w:val="005B2BF2"/>
    <w:rsid w:val="005D1076"/>
    <w:rsid w:val="005D7593"/>
    <w:rsid w:val="005E2013"/>
    <w:rsid w:val="005E3997"/>
    <w:rsid w:val="005E547B"/>
    <w:rsid w:val="005F6347"/>
    <w:rsid w:val="00604874"/>
    <w:rsid w:val="00604CB8"/>
    <w:rsid w:val="00614069"/>
    <w:rsid w:val="00615619"/>
    <w:rsid w:val="00622D67"/>
    <w:rsid w:val="006231D7"/>
    <w:rsid w:val="006351EA"/>
    <w:rsid w:val="00635D9E"/>
    <w:rsid w:val="0063650A"/>
    <w:rsid w:val="006507B8"/>
    <w:rsid w:val="0066106D"/>
    <w:rsid w:val="0066121F"/>
    <w:rsid w:val="00673C0B"/>
    <w:rsid w:val="00681DB8"/>
    <w:rsid w:val="006929B7"/>
    <w:rsid w:val="00695E6C"/>
    <w:rsid w:val="006A3987"/>
    <w:rsid w:val="006A3FF6"/>
    <w:rsid w:val="006B0E47"/>
    <w:rsid w:val="006B0E9C"/>
    <w:rsid w:val="006B2675"/>
    <w:rsid w:val="006B3C7A"/>
    <w:rsid w:val="006B68F9"/>
    <w:rsid w:val="006B6B1D"/>
    <w:rsid w:val="006C0B0F"/>
    <w:rsid w:val="006D377E"/>
    <w:rsid w:val="006D64FA"/>
    <w:rsid w:val="006E42CC"/>
    <w:rsid w:val="006F0268"/>
    <w:rsid w:val="00707A1E"/>
    <w:rsid w:val="0071216F"/>
    <w:rsid w:val="007161F8"/>
    <w:rsid w:val="007173B3"/>
    <w:rsid w:val="0072185F"/>
    <w:rsid w:val="0072617D"/>
    <w:rsid w:val="00730C3D"/>
    <w:rsid w:val="00731C5B"/>
    <w:rsid w:val="00732B85"/>
    <w:rsid w:val="0073656F"/>
    <w:rsid w:val="00736F6A"/>
    <w:rsid w:val="00737D42"/>
    <w:rsid w:val="00741C7A"/>
    <w:rsid w:val="00753A2B"/>
    <w:rsid w:val="00753DF6"/>
    <w:rsid w:val="00756A13"/>
    <w:rsid w:val="00761734"/>
    <w:rsid w:val="0077289D"/>
    <w:rsid w:val="007744A0"/>
    <w:rsid w:val="007815B3"/>
    <w:rsid w:val="0079285E"/>
    <w:rsid w:val="007B1EA0"/>
    <w:rsid w:val="007B741B"/>
    <w:rsid w:val="007C2813"/>
    <w:rsid w:val="007C508A"/>
    <w:rsid w:val="007C66B3"/>
    <w:rsid w:val="007D03FF"/>
    <w:rsid w:val="007D44CA"/>
    <w:rsid w:val="007E0C62"/>
    <w:rsid w:val="007E3396"/>
    <w:rsid w:val="007E5883"/>
    <w:rsid w:val="007F6347"/>
    <w:rsid w:val="007F70E7"/>
    <w:rsid w:val="00801CA3"/>
    <w:rsid w:val="00806AC7"/>
    <w:rsid w:val="00825366"/>
    <w:rsid w:val="0082704B"/>
    <w:rsid w:val="00827969"/>
    <w:rsid w:val="00836950"/>
    <w:rsid w:val="0084424E"/>
    <w:rsid w:val="00847C79"/>
    <w:rsid w:val="0086754C"/>
    <w:rsid w:val="0087134E"/>
    <w:rsid w:val="00875305"/>
    <w:rsid w:val="00886068"/>
    <w:rsid w:val="008977C3"/>
    <w:rsid w:val="008C06EA"/>
    <w:rsid w:val="008C292A"/>
    <w:rsid w:val="008C775D"/>
    <w:rsid w:val="008D3F8B"/>
    <w:rsid w:val="008D446D"/>
    <w:rsid w:val="008E4F08"/>
    <w:rsid w:val="008F20F8"/>
    <w:rsid w:val="00902013"/>
    <w:rsid w:val="0090331D"/>
    <w:rsid w:val="00912E6F"/>
    <w:rsid w:val="00915546"/>
    <w:rsid w:val="00916148"/>
    <w:rsid w:val="00927A36"/>
    <w:rsid w:val="009358B4"/>
    <w:rsid w:val="00936F0A"/>
    <w:rsid w:val="00942BC5"/>
    <w:rsid w:val="0094646D"/>
    <w:rsid w:val="00966C13"/>
    <w:rsid w:val="00970176"/>
    <w:rsid w:val="009708D9"/>
    <w:rsid w:val="00970CFE"/>
    <w:rsid w:val="009726DE"/>
    <w:rsid w:val="009767B0"/>
    <w:rsid w:val="00977B9E"/>
    <w:rsid w:val="009964FA"/>
    <w:rsid w:val="009A3272"/>
    <w:rsid w:val="009B5511"/>
    <w:rsid w:val="009C3061"/>
    <w:rsid w:val="009D0262"/>
    <w:rsid w:val="009D2ED6"/>
    <w:rsid w:val="009E2819"/>
    <w:rsid w:val="009E7228"/>
    <w:rsid w:val="00A011A2"/>
    <w:rsid w:val="00A02DD0"/>
    <w:rsid w:val="00A05077"/>
    <w:rsid w:val="00A052EE"/>
    <w:rsid w:val="00A11BCD"/>
    <w:rsid w:val="00A15A11"/>
    <w:rsid w:val="00A31C21"/>
    <w:rsid w:val="00A4317F"/>
    <w:rsid w:val="00A4386E"/>
    <w:rsid w:val="00A43A19"/>
    <w:rsid w:val="00A43C3B"/>
    <w:rsid w:val="00A566E4"/>
    <w:rsid w:val="00A66B7E"/>
    <w:rsid w:val="00A72B68"/>
    <w:rsid w:val="00A73535"/>
    <w:rsid w:val="00A848DB"/>
    <w:rsid w:val="00A868DB"/>
    <w:rsid w:val="00A91CEE"/>
    <w:rsid w:val="00A92F8E"/>
    <w:rsid w:val="00AA271F"/>
    <w:rsid w:val="00AA6420"/>
    <w:rsid w:val="00AB1057"/>
    <w:rsid w:val="00AB4035"/>
    <w:rsid w:val="00AB43A6"/>
    <w:rsid w:val="00AB5CC1"/>
    <w:rsid w:val="00AD2411"/>
    <w:rsid w:val="00AD722B"/>
    <w:rsid w:val="00AE6651"/>
    <w:rsid w:val="00AF3ED6"/>
    <w:rsid w:val="00AF5EC5"/>
    <w:rsid w:val="00AF73FF"/>
    <w:rsid w:val="00AF767A"/>
    <w:rsid w:val="00AF7B00"/>
    <w:rsid w:val="00B000B7"/>
    <w:rsid w:val="00B1294D"/>
    <w:rsid w:val="00B1581E"/>
    <w:rsid w:val="00B238FD"/>
    <w:rsid w:val="00B27A00"/>
    <w:rsid w:val="00B300E7"/>
    <w:rsid w:val="00B3220C"/>
    <w:rsid w:val="00B46A1E"/>
    <w:rsid w:val="00B50E51"/>
    <w:rsid w:val="00B51A82"/>
    <w:rsid w:val="00B813A0"/>
    <w:rsid w:val="00B90C58"/>
    <w:rsid w:val="00BB36F1"/>
    <w:rsid w:val="00BC0752"/>
    <w:rsid w:val="00BC50C0"/>
    <w:rsid w:val="00BE6343"/>
    <w:rsid w:val="00BE72F3"/>
    <w:rsid w:val="00BE76F8"/>
    <w:rsid w:val="00C101FA"/>
    <w:rsid w:val="00C402DA"/>
    <w:rsid w:val="00C40D91"/>
    <w:rsid w:val="00C413A8"/>
    <w:rsid w:val="00C4327C"/>
    <w:rsid w:val="00C75770"/>
    <w:rsid w:val="00C803EC"/>
    <w:rsid w:val="00C827F4"/>
    <w:rsid w:val="00C8668E"/>
    <w:rsid w:val="00C92F49"/>
    <w:rsid w:val="00C947C3"/>
    <w:rsid w:val="00CA1D9E"/>
    <w:rsid w:val="00CC3BD7"/>
    <w:rsid w:val="00CC5059"/>
    <w:rsid w:val="00CC6B8A"/>
    <w:rsid w:val="00CD03FA"/>
    <w:rsid w:val="00CD50C6"/>
    <w:rsid w:val="00CD65CA"/>
    <w:rsid w:val="00CE0E58"/>
    <w:rsid w:val="00CE1B3E"/>
    <w:rsid w:val="00CE4338"/>
    <w:rsid w:val="00CE7644"/>
    <w:rsid w:val="00CF6728"/>
    <w:rsid w:val="00D02710"/>
    <w:rsid w:val="00D028CC"/>
    <w:rsid w:val="00D02DB9"/>
    <w:rsid w:val="00D0644F"/>
    <w:rsid w:val="00D12680"/>
    <w:rsid w:val="00D14195"/>
    <w:rsid w:val="00D14A02"/>
    <w:rsid w:val="00D15120"/>
    <w:rsid w:val="00D16587"/>
    <w:rsid w:val="00D21B8F"/>
    <w:rsid w:val="00D25930"/>
    <w:rsid w:val="00D33271"/>
    <w:rsid w:val="00D35BA3"/>
    <w:rsid w:val="00D64310"/>
    <w:rsid w:val="00D64C71"/>
    <w:rsid w:val="00D6547C"/>
    <w:rsid w:val="00D65F35"/>
    <w:rsid w:val="00D755A4"/>
    <w:rsid w:val="00D86213"/>
    <w:rsid w:val="00D86A49"/>
    <w:rsid w:val="00DA3E6C"/>
    <w:rsid w:val="00DA7EEF"/>
    <w:rsid w:val="00DB19F4"/>
    <w:rsid w:val="00DC0A5D"/>
    <w:rsid w:val="00DC0FED"/>
    <w:rsid w:val="00DC6298"/>
    <w:rsid w:val="00DD0B80"/>
    <w:rsid w:val="00DD2AFB"/>
    <w:rsid w:val="00DE64B8"/>
    <w:rsid w:val="00DE7CED"/>
    <w:rsid w:val="00DF20F5"/>
    <w:rsid w:val="00DF4C43"/>
    <w:rsid w:val="00E0438B"/>
    <w:rsid w:val="00E04B10"/>
    <w:rsid w:val="00E143B1"/>
    <w:rsid w:val="00E14D80"/>
    <w:rsid w:val="00E20061"/>
    <w:rsid w:val="00E36C42"/>
    <w:rsid w:val="00E421D4"/>
    <w:rsid w:val="00E424D5"/>
    <w:rsid w:val="00E425B1"/>
    <w:rsid w:val="00E44F02"/>
    <w:rsid w:val="00E45DA3"/>
    <w:rsid w:val="00E521EB"/>
    <w:rsid w:val="00E723BD"/>
    <w:rsid w:val="00E750A8"/>
    <w:rsid w:val="00E7773B"/>
    <w:rsid w:val="00E84808"/>
    <w:rsid w:val="00EC06B3"/>
    <w:rsid w:val="00EC0D52"/>
    <w:rsid w:val="00EC3A13"/>
    <w:rsid w:val="00EC3A4D"/>
    <w:rsid w:val="00EC3C9D"/>
    <w:rsid w:val="00ED06A5"/>
    <w:rsid w:val="00ED117E"/>
    <w:rsid w:val="00ED27C3"/>
    <w:rsid w:val="00ED4AE6"/>
    <w:rsid w:val="00ED4DEE"/>
    <w:rsid w:val="00ED6273"/>
    <w:rsid w:val="00EE0576"/>
    <w:rsid w:val="00EE1371"/>
    <w:rsid w:val="00EE5406"/>
    <w:rsid w:val="00F00A02"/>
    <w:rsid w:val="00F03895"/>
    <w:rsid w:val="00F03B2D"/>
    <w:rsid w:val="00F0770B"/>
    <w:rsid w:val="00F20129"/>
    <w:rsid w:val="00F20645"/>
    <w:rsid w:val="00F23D21"/>
    <w:rsid w:val="00F25EAD"/>
    <w:rsid w:val="00F34047"/>
    <w:rsid w:val="00F37822"/>
    <w:rsid w:val="00F37A50"/>
    <w:rsid w:val="00F672E7"/>
    <w:rsid w:val="00F82986"/>
    <w:rsid w:val="00F84758"/>
    <w:rsid w:val="00F96CC6"/>
    <w:rsid w:val="00F97770"/>
    <w:rsid w:val="00FB6D28"/>
    <w:rsid w:val="00FB6E19"/>
    <w:rsid w:val="00FB7243"/>
    <w:rsid w:val="00FC0ED7"/>
    <w:rsid w:val="00FC348C"/>
    <w:rsid w:val="00FD3C6A"/>
    <w:rsid w:val="00FD6B8A"/>
    <w:rsid w:val="00FE1441"/>
    <w:rsid w:val="00FE1DA8"/>
    <w:rsid w:val="00FE2EF4"/>
    <w:rsid w:val="00FF1074"/>
    <w:rsid w:val="00FF6612"/>
    <w:rsid w:val="05602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C7335"/>
  <w15:docId w15:val="{9AD09A50-C1DF-4ED0-A010-0858518CB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3">
    <w:name w:val="heading 3"/>
    <w:basedOn w:val="a"/>
    <w:next w:val="a"/>
    <w:uiPriority w:val="9"/>
    <w:semiHidden/>
    <w:unhideWhenUsed/>
    <w:qFormat/>
    <w:pPr>
      <w:spacing w:beforeAutospacing="1" w:after="0" w:afterAutospacing="1"/>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rPr>
  </w:style>
  <w:style w:type="paragraph" w:styleId="a4">
    <w:name w:val="Revision"/>
    <w:hidden/>
    <w:uiPriority w:val="99"/>
    <w:unhideWhenUsed/>
    <w:rsid w:val="00413849"/>
    <w:rPr>
      <w:rFonts w:asciiTheme="minorHAnsi" w:eastAsiaTheme="minorEastAsia" w:hAnsiTheme="minorHAnsi"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15</Pages>
  <Words>2756</Words>
  <Characters>15715</Characters>
  <Application>Microsoft Office Word</Application>
  <DocSecurity>0</DocSecurity>
  <Lines>130</Lines>
  <Paragraphs>36</Paragraphs>
  <ScaleCrop>false</ScaleCrop>
  <Company/>
  <LinksUpToDate>false</LinksUpToDate>
  <CharactersWithSpaces>18435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万里 易</cp:lastModifiedBy>
  <cp:revision>410</cp:revision>
  <dcterms:created xsi:type="dcterms:W3CDTF">2026-05-31T02:17:00Z</dcterms:created>
  <dcterms:modified xsi:type="dcterms:W3CDTF">2026-08-14T14:41:00Z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{"Label":"1","ContentProducer":"001191110102MACQD9K64010000","ProduceID":"7645874170778536912","ReservedCode1":"","ContentPropagator":"","PropagateID":"","ReservedCode2":""}</vt:lpwstr>
  </property>
  <property fmtid="{D5CDD505-2E9C-101B-9397-08002B2CF9AE}" pid="3" name="GrammarlyDocumentId">
    <vt:lpwstr>7b05fad8-756f-4bad-8b5f-1f5ca63b09e5</vt:lpwstr>
  </property>
  <property fmtid="{D5CDD505-2E9C-101B-9397-08002B2CF9AE}" pid="4" name="KSOTemplateDocerSaveRecord">
    <vt:lpwstr>eyJoZGlkIjoiNTY4NmRiOWY1MWE0ZWY3NzUzZWYzMDZkYjRmOGQ4MTciLCJ1c2VySWQiOiI0NDY1Mjg2NjMifQ==</vt:lpwstr>
  </property>
  <property fmtid="{D5CDD505-2E9C-101B-9397-08002B2CF9AE}" pid="5" name="KSOProductBuildVer">
    <vt:lpwstr>2052-12.1.0.28043</vt:lpwstr>
  </property>
  <property fmtid="{D5CDD505-2E9C-101B-9397-08002B2CF9AE}" pid="6" name="ICV">
    <vt:lpwstr>D9BEB42FD6404A979213CC534B16DD07_12</vt:lpwstr>
  </property>
</Properties>
</file>